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975B07" w14:paraId="0011F4F9" w14:textId="77777777" w:rsidTr="197BAE22">
        <w:tc>
          <w:tcPr>
            <w:tcW w:w="2438" w:type="dxa"/>
          </w:tcPr>
          <w:p w14:paraId="7F4771FF"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tcPr>
          <w:p w14:paraId="72ED3AB2" w14:textId="77777777" w:rsidR="000A47AE" w:rsidRDefault="00632588" w:rsidP="000A47AE">
            <w:pPr>
              <w:rPr>
                <w:rStyle w:val="Firstpagetablebold"/>
              </w:rPr>
            </w:pPr>
            <w:r>
              <w:rPr>
                <w:rStyle w:val="Firstpagetablebold"/>
              </w:rPr>
              <w:t>Cabinet</w:t>
            </w:r>
          </w:p>
          <w:p w14:paraId="11F1B0A2" w14:textId="77777777" w:rsidR="00F445B1" w:rsidRPr="00F95BC9" w:rsidRDefault="00F445B1" w:rsidP="000A47AE">
            <w:pPr>
              <w:rPr>
                <w:rStyle w:val="Firstpagetablebold"/>
              </w:rPr>
            </w:pPr>
          </w:p>
        </w:tc>
      </w:tr>
      <w:tr w:rsidR="00CE544A" w:rsidRPr="00975B07" w14:paraId="67FF0822" w14:textId="77777777" w:rsidTr="197BAE22">
        <w:tc>
          <w:tcPr>
            <w:tcW w:w="2438" w:type="dxa"/>
          </w:tcPr>
          <w:p w14:paraId="4BEF97D3"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tcPr>
          <w:p w14:paraId="41A0494D" w14:textId="1FAB94B2" w:rsidR="000A47AE" w:rsidRDefault="00CE2954" w:rsidP="000A47AE">
            <w:pPr>
              <w:rPr>
                <w:rStyle w:val="Firstpagetablebold"/>
              </w:rPr>
            </w:pPr>
            <w:r>
              <w:rPr>
                <w:rStyle w:val="Firstpagetablebold"/>
              </w:rPr>
              <w:t>17 September</w:t>
            </w:r>
            <w:r w:rsidR="00240FF5">
              <w:rPr>
                <w:rStyle w:val="Firstpagetablebold"/>
              </w:rPr>
              <w:t xml:space="preserve"> </w:t>
            </w:r>
            <w:r w:rsidR="00534A13" w:rsidRPr="00A17168">
              <w:rPr>
                <w:rStyle w:val="Firstpagetablebold"/>
              </w:rPr>
              <w:t>202</w:t>
            </w:r>
            <w:r w:rsidR="001D22E9">
              <w:rPr>
                <w:rStyle w:val="Firstpagetablebold"/>
              </w:rPr>
              <w:t>5</w:t>
            </w:r>
            <w:r w:rsidR="005C69A8">
              <w:rPr>
                <w:rStyle w:val="Firstpagetablebold"/>
              </w:rPr>
              <w:t xml:space="preserve"> </w:t>
            </w:r>
          </w:p>
          <w:p w14:paraId="3D28F9AC" w14:textId="77777777" w:rsidR="00F445B1" w:rsidRPr="001356F1" w:rsidRDefault="00F445B1" w:rsidP="000A47AE">
            <w:pPr>
              <w:rPr>
                <w:b/>
              </w:rPr>
            </w:pPr>
          </w:p>
        </w:tc>
      </w:tr>
      <w:tr w:rsidR="00CE544A" w:rsidRPr="00975B07" w14:paraId="36750B84" w14:textId="77777777" w:rsidTr="197BAE22">
        <w:tc>
          <w:tcPr>
            <w:tcW w:w="2438" w:type="dxa"/>
          </w:tcPr>
          <w:p w14:paraId="3DE7F996"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tcPr>
          <w:p w14:paraId="0C10FF03" w14:textId="77777777" w:rsidR="008015E8" w:rsidRPr="008015E8" w:rsidRDefault="008015E8" w:rsidP="008015E8">
            <w:pPr>
              <w:spacing w:after="0"/>
              <w:rPr>
                <w:rStyle w:val="Firstpagetablebold"/>
              </w:rPr>
            </w:pPr>
            <w:r w:rsidRPr="008015E8">
              <w:rPr>
                <w:rStyle w:val="Firstpagetablebold"/>
              </w:rPr>
              <w:t>Group Finance Director (Section 151 Officer)</w:t>
            </w:r>
          </w:p>
          <w:p w14:paraId="59C35A88" w14:textId="659CE8E5" w:rsidR="00177372" w:rsidRPr="001356F1" w:rsidRDefault="00177372" w:rsidP="00B85B99">
            <w:pPr>
              <w:rPr>
                <w:rStyle w:val="Firstpagetablebold"/>
              </w:rPr>
            </w:pPr>
          </w:p>
        </w:tc>
      </w:tr>
      <w:tr w:rsidR="00CE544A" w:rsidRPr="00975B07" w14:paraId="732AA7BF" w14:textId="77777777" w:rsidTr="197BAE22">
        <w:tc>
          <w:tcPr>
            <w:tcW w:w="2438" w:type="dxa"/>
          </w:tcPr>
          <w:p w14:paraId="4347A750"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tcPr>
          <w:p w14:paraId="2EEA722B" w14:textId="2A1E70C5" w:rsidR="00F445B1" w:rsidRPr="001356F1" w:rsidRDefault="00177372" w:rsidP="006633F1">
            <w:pPr>
              <w:rPr>
                <w:rStyle w:val="Firstpagetablebold"/>
              </w:rPr>
            </w:pPr>
            <w:r>
              <w:rPr>
                <w:rStyle w:val="Firstpagetablebold"/>
              </w:rPr>
              <w:t xml:space="preserve">Integrated </w:t>
            </w:r>
            <w:r w:rsidR="004E27A6">
              <w:rPr>
                <w:rStyle w:val="Firstpagetablebold"/>
              </w:rPr>
              <w:t>Performance Report for Q</w:t>
            </w:r>
            <w:r w:rsidR="003F50F9">
              <w:rPr>
                <w:rStyle w:val="Firstpagetablebold"/>
              </w:rPr>
              <w:t xml:space="preserve">uarter </w:t>
            </w:r>
            <w:r w:rsidR="00CE2954">
              <w:rPr>
                <w:rStyle w:val="Firstpagetablebold"/>
              </w:rPr>
              <w:t>1</w:t>
            </w:r>
            <w:r w:rsidR="00C00652">
              <w:rPr>
                <w:rStyle w:val="Firstpagetablebold"/>
              </w:rPr>
              <w:t xml:space="preserve"> 20</w:t>
            </w:r>
            <w:r w:rsidR="00632588">
              <w:rPr>
                <w:rStyle w:val="Firstpagetablebold"/>
              </w:rPr>
              <w:t>2</w:t>
            </w:r>
            <w:r w:rsidR="00CE2954">
              <w:rPr>
                <w:rStyle w:val="Firstpagetablebold"/>
              </w:rPr>
              <w:t>5</w:t>
            </w:r>
            <w:r w:rsidR="00871859">
              <w:rPr>
                <w:rStyle w:val="Firstpagetablebold"/>
              </w:rPr>
              <w:t>/2</w:t>
            </w:r>
            <w:r w:rsidR="00CE2954">
              <w:rPr>
                <w:rStyle w:val="Firstpagetablebold"/>
              </w:rPr>
              <w:t>6</w:t>
            </w:r>
          </w:p>
        </w:tc>
      </w:tr>
    </w:tbl>
    <w:p w14:paraId="46723935" w14:textId="5AB00EC5" w:rsidR="004F20EF" w:rsidRDefault="00D75C50" w:rsidP="004A6D2F">
      <w:r w:rsidRPr="00D75C50">
        <w:rPr>
          <w:highlight w:val="yellow"/>
        </w:rPr>
        <w:t xml:space="preserve"> </w:t>
      </w:r>
    </w:p>
    <w:tbl>
      <w:tblPr>
        <w:tblW w:w="9380"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001"/>
        <w:gridCol w:w="6379"/>
      </w:tblGrid>
      <w:tr w:rsidR="00D5547E" w14:paraId="307E81AC" w14:textId="77777777" w:rsidTr="008015E8">
        <w:trPr>
          <w:trHeight w:val="300"/>
        </w:trPr>
        <w:tc>
          <w:tcPr>
            <w:tcW w:w="9380" w:type="dxa"/>
            <w:gridSpan w:val="2"/>
            <w:tcBorders>
              <w:bottom w:val="single" w:sz="4" w:space="0" w:color="auto"/>
            </w:tcBorders>
            <w:hideMark/>
          </w:tcPr>
          <w:p w14:paraId="2709729C" w14:textId="77777777" w:rsidR="00D5547E" w:rsidRDefault="00745BF0" w:rsidP="746D2C75">
            <w:pPr>
              <w:spacing w:before="60" w:after="60"/>
              <w:jc w:val="center"/>
              <w:rPr>
                <w:rStyle w:val="Firstpagetablebold"/>
              </w:rPr>
            </w:pPr>
            <w:r>
              <w:rPr>
                <w:rStyle w:val="Firstpagetablebold"/>
              </w:rPr>
              <w:t>Summary and r</w:t>
            </w:r>
            <w:r w:rsidR="00D5547E">
              <w:rPr>
                <w:rStyle w:val="Firstpagetablebold"/>
              </w:rPr>
              <w:t>ecommendations</w:t>
            </w:r>
          </w:p>
        </w:tc>
      </w:tr>
      <w:tr w:rsidR="00D5547E" w14:paraId="77881BDF" w14:textId="77777777" w:rsidTr="00C71E47">
        <w:trPr>
          <w:trHeight w:val="300"/>
        </w:trPr>
        <w:tc>
          <w:tcPr>
            <w:tcW w:w="3001" w:type="dxa"/>
            <w:tcBorders>
              <w:top w:val="single" w:sz="4" w:space="0" w:color="auto"/>
              <w:left w:val="single" w:sz="4" w:space="0" w:color="auto"/>
              <w:bottom w:val="nil"/>
              <w:right w:val="nil"/>
            </w:tcBorders>
            <w:hideMark/>
          </w:tcPr>
          <w:p w14:paraId="00416367" w14:textId="205221CA" w:rsidR="00D5547E" w:rsidRDefault="00303562" w:rsidP="746D2C75">
            <w:pPr>
              <w:spacing w:before="60" w:after="60"/>
              <w:rPr>
                <w:rStyle w:val="Firstpagetablebold"/>
              </w:rPr>
            </w:pPr>
            <w:r>
              <w:rPr>
                <w:rStyle w:val="Firstpagetablebold"/>
              </w:rPr>
              <w:t>Decision being taken:</w:t>
            </w:r>
          </w:p>
        </w:tc>
        <w:tc>
          <w:tcPr>
            <w:tcW w:w="6379" w:type="dxa"/>
            <w:tcBorders>
              <w:top w:val="single" w:sz="4" w:space="0" w:color="auto"/>
              <w:left w:val="nil"/>
              <w:bottom w:val="nil"/>
              <w:right w:val="single" w:sz="4" w:space="0" w:color="auto"/>
            </w:tcBorders>
            <w:hideMark/>
          </w:tcPr>
          <w:p w14:paraId="678F1792" w14:textId="6239A34B" w:rsidR="00D5547E" w:rsidRPr="001356F1" w:rsidRDefault="00A91B9B" w:rsidP="746D2C75">
            <w:pPr>
              <w:spacing w:before="60" w:after="60"/>
            </w:pPr>
            <w:r>
              <w:t xml:space="preserve">To </w:t>
            </w:r>
            <w:r w:rsidR="00303562">
              <w:t xml:space="preserve">note the </w:t>
            </w:r>
            <w:r>
              <w:t xml:space="preserve">update </w:t>
            </w:r>
            <w:r w:rsidR="00303562">
              <w:t xml:space="preserve">to </w:t>
            </w:r>
            <w:r w:rsidR="00BB420C">
              <w:t xml:space="preserve">the </w:t>
            </w:r>
            <w:r w:rsidR="00CF795B">
              <w:t>Cabinet</w:t>
            </w:r>
            <w:r>
              <w:t xml:space="preserve"> </w:t>
            </w:r>
            <w:r w:rsidRPr="005B020D">
              <w:rPr>
                <w:color w:val="auto"/>
              </w:rPr>
              <w:t xml:space="preserve">on Finance, Risk and </w:t>
            </w:r>
            <w:r w:rsidR="00CF795B" w:rsidRPr="005B020D">
              <w:rPr>
                <w:color w:val="auto"/>
              </w:rPr>
              <w:t xml:space="preserve">Corporate </w:t>
            </w:r>
            <w:r w:rsidRPr="005B020D">
              <w:rPr>
                <w:color w:val="auto"/>
              </w:rPr>
              <w:t>Performance</w:t>
            </w:r>
            <w:r w:rsidR="00CF795B" w:rsidRPr="005B020D">
              <w:rPr>
                <w:color w:val="auto"/>
              </w:rPr>
              <w:t xml:space="preserve"> matters</w:t>
            </w:r>
            <w:r w:rsidRPr="005B020D">
              <w:rPr>
                <w:color w:val="auto"/>
              </w:rPr>
              <w:t xml:space="preserve"> </w:t>
            </w:r>
            <w:proofErr w:type="gramStart"/>
            <w:r>
              <w:t>at</w:t>
            </w:r>
            <w:proofErr w:type="gramEnd"/>
            <w:r>
              <w:t xml:space="preserve"> </w:t>
            </w:r>
            <w:r w:rsidR="00534A13" w:rsidRPr="00A17168">
              <w:t>3</w:t>
            </w:r>
            <w:r w:rsidR="00CE2954">
              <w:t>0</w:t>
            </w:r>
            <w:r w:rsidR="00CE2954" w:rsidRPr="00CE2954">
              <w:rPr>
                <w:vertAlign w:val="superscript"/>
              </w:rPr>
              <w:t>th</w:t>
            </w:r>
            <w:r w:rsidR="00CE2954">
              <w:t xml:space="preserve"> June</w:t>
            </w:r>
            <w:r w:rsidR="00142A87">
              <w:t xml:space="preserve"> 202</w:t>
            </w:r>
            <w:r w:rsidR="00287B05">
              <w:t>5</w:t>
            </w:r>
          </w:p>
        </w:tc>
      </w:tr>
      <w:tr w:rsidR="00D5547E" w14:paraId="4E0EABF7" w14:textId="77777777" w:rsidTr="00C71E47">
        <w:trPr>
          <w:trHeight w:val="300"/>
        </w:trPr>
        <w:tc>
          <w:tcPr>
            <w:tcW w:w="3001" w:type="dxa"/>
            <w:tcBorders>
              <w:top w:val="nil"/>
              <w:left w:val="single" w:sz="4" w:space="0" w:color="auto"/>
              <w:bottom w:val="nil"/>
              <w:right w:val="nil"/>
            </w:tcBorders>
            <w:hideMark/>
          </w:tcPr>
          <w:p w14:paraId="3BA22E73" w14:textId="77777777" w:rsidR="00D5547E" w:rsidRDefault="00D5547E" w:rsidP="746D2C75">
            <w:pPr>
              <w:spacing w:before="60" w:after="60"/>
              <w:rPr>
                <w:rStyle w:val="Firstpagetablebold"/>
              </w:rPr>
            </w:pPr>
            <w:r>
              <w:rPr>
                <w:rStyle w:val="Firstpagetablebold"/>
              </w:rPr>
              <w:t>Key decision:</w:t>
            </w:r>
          </w:p>
        </w:tc>
        <w:tc>
          <w:tcPr>
            <w:tcW w:w="6379" w:type="dxa"/>
            <w:tcBorders>
              <w:top w:val="nil"/>
              <w:left w:val="nil"/>
              <w:bottom w:val="nil"/>
              <w:right w:val="single" w:sz="4" w:space="0" w:color="auto"/>
            </w:tcBorders>
            <w:hideMark/>
          </w:tcPr>
          <w:p w14:paraId="57DCD61B" w14:textId="77777777" w:rsidR="00D5547E" w:rsidRPr="001356F1" w:rsidRDefault="00177372" w:rsidP="746D2C75">
            <w:pPr>
              <w:spacing w:before="60" w:after="60"/>
            </w:pPr>
            <w:r>
              <w:t>No</w:t>
            </w:r>
          </w:p>
        </w:tc>
      </w:tr>
      <w:tr w:rsidR="00D5547E" w14:paraId="6438E459" w14:textId="77777777" w:rsidTr="00C71E47">
        <w:trPr>
          <w:trHeight w:val="300"/>
        </w:trPr>
        <w:tc>
          <w:tcPr>
            <w:tcW w:w="3001" w:type="dxa"/>
            <w:tcBorders>
              <w:top w:val="nil"/>
              <w:left w:val="single" w:sz="4" w:space="0" w:color="auto"/>
              <w:bottom w:val="nil"/>
              <w:right w:val="nil"/>
            </w:tcBorders>
            <w:hideMark/>
          </w:tcPr>
          <w:p w14:paraId="23E7FAA0" w14:textId="7F9C33FB" w:rsidR="00D5547E" w:rsidRDefault="00303562" w:rsidP="746D2C75">
            <w:pPr>
              <w:spacing w:before="60" w:after="60"/>
              <w:rPr>
                <w:rStyle w:val="Firstpagetablebold"/>
              </w:rPr>
            </w:pPr>
            <w:r>
              <w:rPr>
                <w:rStyle w:val="Firstpagetablebold"/>
              </w:rPr>
              <w:t>Cabinet Member</w:t>
            </w:r>
            <w:r w:rsidR="00D5547E">
              <w:rPr>
                <w:rStyle w:val="Firstpagetablebold"/>
              </w:rPr>
              <w:t>:</w:t>
            </w:r>
          </w:p>
        </w:tc>
        <w:tc>
          <w:tcPr>
            <w:tcW w:w="6379" w:type="dxa"/>
            <w:tcBorders>
              <w:top w:val="nil"/>
              <w:left w:val="nil"/>
              <w:bottom w:val="nil"/>
              <w:right w:val="single" w:sz="4" w:space="0" w:color="auto"/>
            </w:tcBorders>
            <w:hideMark/>
          </w:tcPr>
          <w:p w14:paraId="15868214" w14:textId="247A8852" w:rsidR="00D5547E" w:rsidRPr="001356F1" w:rsidRDefault="5C275BC1" w:rsidP="746D2C75">
            <w:pPr>
              <w:spacing w:before="60" w:after="60"/>
            </w:pPr>
            <w:r>
              <w:t>Cabinet Member for Finance and Assets</w:t>
            </w:r>
          </w:p>
        </w:tc>
      </w:tr>
      <w:tr w:rsidR="0080749A" w14:paraId="5B7534AD" w14:textId="77777777" w:rsidTr="00C71E47">
        <w:trPr>
          <w:trHeight w:val="300"/>
        </w:trPr>
        <w:tc>
          <w:tcPr>
            <w:tcW w:w="3001" w:type="dxa"/>
            <w:tcBorders>
              <w:top w:val="nil"/>
              <w:left w:val="single" w:sz="4" w:space="0" w:color="auto"/>
              <w:bottom w:val="nil"/>
              <w:right w:val="nil"/>
            </w:tcBorders>
          </w:tcPr>
          <w:p w14:paraId="759D152D" w14:textId="77777777" w:rsidR="0080749A" w:rsidRDefault="0080749A" w:rsidP="746D2C75">
            <w:pPr>
              <w:spacing w:before="60" w:after="60"/>
              <w:rPr>
                <w:rStyle w:val="Firstpagetablebold"/>
              </w:rPr>
            </w:pPr>
            <w:r>
              <w:rPr>
                <w:rStyle w:val="Firstpagetablebold"/>
              </w:rPr>
              <w:t>Corporate Priority:</w:t>
            </w:r>
          </w:p>
        </w:tc>
        <w:tc>
          <w:tcPr>
            <w:tcW w:w="6379" w:type="dxa"/>
            <w:tcBorders>
              <w:top w:val="nil"/>
              <w:left w:val="nil"/>
              <w:bottom w:val="nil"/>
              <w:right w:val="single" w:sz="4" w:space="0" w:color="auto"/>
            </w:tcBorders>
          </w:tcPr>
          <w:p w14:paraId="2642604D" w14:textId="3AA8EAFC" w:rsidR="0080749A" w:rsidRPr="001356F1" w:rsidRDefault="737F0D4B" w:rsidP="746D2C75">
            <w:pPr>
              <w:spacing w:before="60" w:after="60"/>
            </w:pPr>
            <w:r>
              <w:t>All areas</w:t>
            </w:r>
          </w:p>
        </w:tc>
      </w:tr>
      <w:tr w:rsidR="00D5547E" w14:paraId="46AAC5B4" w14:textId="77777777" w:rsidTr="00C71E47">
        <w:trPr>
          <w:trHeight w:val="300"/>
        </w:trPr>
        <w:tc>
          <w:tcPr>
            <w:tcW w:w="3001" w:type="dxa"/>
            <w:tcBorders>
              <w:top w:val="nil"/>
              <w:left w:val="single" w:sz="4" w:space="0" w:color="auto"/>
              <w:bottom w:val="single" w:sz="4" w:space="0" w:color="auto"/>
              <w:right w:val="nil"/>
            </w:tcBorders>
            <w:hideMark/>
          </w:tcPr>
          <w:p w14:paraId="3A72AE5C" w14:textId="77777777" w:rsidR="00D5547E" w:rsidRDefault="00D5547E" w:rsidP="746D2C75">
            <w:pPr>
              <w:spacing w:before="60" w:after="60"/>
              <w:rPr>
                <w:rStyle w:val="Firstpagetablebold"/>
              </w:rPr>
            </w:pPr>
            <w:r>
              <w:rPr>
                <w:rStyle w:val="Firstpagetablebold"/>
              </w:rPr>
              <w:t>Policy Framework:</w:t>
            </w:r>
          </w:p>
        </w:tc>
        <w:tc>
          <w:tcPr>
            <w:tcW w:w="6379" w:type="dxa"/>
            <w:tcBorders>
              <w:top w:val="nil"/>
              <w:left w:val="nil"/>
              <w:bottom w:val="single" w:sz="4" w:space="0" w:color="auto"/>
              <w:right w:val="single" w:sz="4" w:space="0" w:color="auto"/>
            </w:tcBorders>
            <w:hideMark/>
          </w:tcPr>
          <w:p w14:paraId="6D2BADA4" w14:textId="70F08708" w:rsidR="00D5547E" w:rsidRPr="001356F1" w:rsidRDefault="00044A94" w:rsidP="746D2C75">
            <w:pPr>
              <w:spacing w:before="60" w:after="60"/>
            </w:pPr>
            <w:r>
              <w:t>Corporate Plan</w:t>
            </w:r>
          </w:p>
          <w:p w14:paraId="5C97CD45" w14:textId="19CFBA01" w:rsidR="00D5547E" w:rsidRPr="001356F1" w:rsidRDefault="00D5547E" w:rsidP="746D2C75">
            <w:pPr>
              <w:spacing w:before="60" w:after="60"/>
            </w:pPr>
          </w:p>
        </w:tc>
      </w:tr>
    </w:tbl>
    <w:p w14:paraId="6E282F35" w14:textId="77777777" w:rsidR="00EC334D" w:rsidRDefault="00EC334D"/>
    <w:tbl>
      <w:tblPr>
        <w:tblW w:w="9380"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380"/>
      </w:tblGrid>
      <w:tr w:rsidR="005F7F7E" w:rsidRPr="00975B07" w14:paraId="6D67B177" w14:textId="77777777" w:rsidTr="008015E8">
        <w:trPr>
          <w:trHeight w:val="300"/>
        </w:trPr>
        <w:tc>
          <w:tcPr>
            <w:tcW w:w="9380" w:type="dxa"/>
            <w:tcBorders>
              <w:bottom w:val="single" w:sz="8" w:space="0" w:color="000000" w:themeColor="text1"/>
            </w:tcBorders>
          </w:tcPr>
          <w:p w14:paraId="206F6AFA" w14:textId="77777777" w:rsidR="005F7F7E" w:rsidRPr="00975B07" w:rsidRDefault="005F7F7E" w:rsidP="746D2C75">
            <w:pPr>
              <w:spacing w:before="60" w:after="60"/>
            </w:pPr>
            <w:r>
              <w:rPr>
                <w:rStyle w:val="Firstpagetablebold"/>
              </w:rPr>
              <w:t>Recommendation(s):</w:t>
            </w:r>
            <w:r w:rsidR="007E64F0">
              <w:rPr>
                <w:rStyle w:val="Firstpagetablebold"/>
              </w:rPr>
              <w:t xml:space="preserve"> </w:t>
            </w:r>
            <w:r>
              <w:rPr>
                <w:rStyle w:val="Firstpagetablebold"/>
              </w:rPr>
              <w:t xml:space="preserve">That the </w:t>
            </w:r>
            <w:r w:rsidR="00CF795B">
              <w:rPr>
                <w:rStyle w:val="Firstpagetablebold"/>
              </w:rPr>
              <w:t>Cabinet</w:t>
            </w:r>
            <w:r w:rsidR="00A85B0E">
              <w:rPr>
                <w:rStyle w:val="Firstpagetablebold"/>
              </w:rPr>
              <w:t xml:space="preserve"> resolves to</w:t>
            </w:r>
            <w:r>
              <w:rPr>
                <w:rStyle w:val="Firstpagetablebold"/>
              </w:rPr>
              <w:t>:</w:t>
            </w:r>
          </w:p>
        </w:tc>
      </w:tr>
      <w:tr w:rsidR="0030208D" w:rsidRPr="00975B07" w14:paraId="15830C22" w14:textId="77777777" w:rsidTr="008015E8">
        <w:trPr>
          <w:trHeight w:val="300"/>
        </w:trPr>
        <w:tc>
          <w:tcPr>
            <w:tcW w:w="9380" w:type="dxa"/>
            <w:tcBorders>
              <w:top w:val="single" w:sz="8" w:space="0" w:color="000000" w:themeColor="text1"/>
              <w:left w:val="single" w:sz="12" w:space="0" w:color="000000" w:themeColor="text1"/>
            </w:tcBorders>
          </w:tcPr>
          <w:p w14:paraId="5DA81D90" w14:textId="57A2A811" w:rsidR="0069208B" w:rsidRPr="001356F1" w:rsidRDefault="00A85B0E" w:rsidP="008015E8">
            <w:pPr>
              <w:pStyle w:val="ListParagraph"/>
              <w:numPr>
                <w:ilvl w:val="0"/>
                <w:numId w:val="32"/>
              </w:numPr>
              <w:spacing w:before="60" w:after="60"/>
              <w:ind w:left="339"/>
            </w:pPr>
            <w:r w:rsidRPr="00222A4F">
              <w:rPr>
                <w:rStyle w:val="Firstpagetablebold"/>
                <w:b w:val="0"/>
              </w:rPr>
              <w:t xml:space="preserve">Note </w:t>
            </w:r>
            <w:r w:rsidRPr="0049698A">
              <w:rPr>
                <w:rStyle w:val="Firstpagetablebold"/>
                <w:b w:val="0"/>
              </w:rPr>
              <w:t xml:space="preserve">the </w:t>
            </w:r>
            <w:r w:rsidR="0049698A" w:rsidRPr="0049698A">
              <w:rPr>
                <w:rStyle w:val="Firstpagetablebold"/>
                <w:b w:val="0"/>
              </w:rPr>
              <w:t>financial position</w:t>
            </w:r>
            <w:r w:rsidR="00287B05" w:rsidRPr="00287B05">
              <w:rPr>
                <w:rStyle w:val="Firstpagetablebold"/>
                <w:b w:val="0"/>
              </w:rPr>
              <w:t xml:space="preserve"> for</w:t>
            </w:r>
            <w:r w:rsidR="0049698A">
              <w:rPr>
                <w:rStyle w:val="Firstpagetablebold"/>
                <w:b w:val="0"/>
              </w:rPr>
              <w:t xml:space="preserve"> </w:t>
            </w:r>
            <w:r w:rsidR="0049698A" w:rsidRPr="0049698A">
              <w:rPr>
                <w:rStyle w:val="Firstpagetablebold"/>
                <w:b w:val="0"/>
                <w:bCs/>
              </w:rPr>
              <w:t xml:space="preserve">quarter 1 (Q1) </w:t>
            </w:r>
            <w:r w:rsidR="00287B05" w:rsidRPr="0049698A">
              <w:rPr>
                <w:rStyle w:val="Firstpagetablebold"/>
                <w:b w:val="0"/>
                <w:bCs/>
              </w:rPr>
              <w:t>202</w:t>
            </w:r>
            <w:r w:rsidR="0049698A" w:rsidRPr="0049698A">
              <w:rPr>
                <w:rStyle w:val="Firstpagetablebold"/>
                <w:b w:val="0"/>
                <w:bCs/>
              </w:rPr>
              <w:t>5</w:t>
            </w:r>
            <w:r w:rsidR="00287B05" w:rsidRPr="00287B05">
              <w:rPr>
                <w:rStyle w:val="Firstpagetablebold"/>
                <w:b w:val="0"/>
              </w:rPr>
              <w:t>/2</w:t>
            </w:r>
            <w:r w:rsidR="0049698A">
              <w:rPr>
                <w:rStyle w:val="Firstpagetablebold"/>
                <w:b w:val="0"/>
              </w:rPr>
              <w:t>6</w:t>
            </w:r>
            <w:r w:rsidR="00CF795B" w:rsidRPr="00222A4F">
              <w:rPr>
                <w:rStyle w:val="Firstpagetablebold"/>
                <w:b w:val="0"/>
              </w:rPr>
              <w:t xml:space="preserve"> </w:t>
            </w:r>
            <w:r w:rsidR="0049698A" w:rsidRPr="0049698A">
              <w:rPr>
                <w:rStyle w:val="Firstpagetablebold"/>
                <w:b w:val="0"/>
              </w:rPr>
              <w:t>including forecast outturn</w:t>
            </w:r>
            <w:r w:rsidR="0049698A">
              <w:rPr>
                <w:rStyle w:val="Firstpagetablebold"/>
                <w:b w:val="0"/>
              </w:rPr>
              <w:t>,</w:t>
            </w:r>
            <w:r w:rsidR="0049698A">
              <w:rPr>
                <w:rStyle w:val="Firstpagetablebold"/>
              </w:rPr>
              <w:t xml:space="preserve"> </w:t>
            </w:r>
            <w:r w:rsidR="00CF795B" w:rsidRPr="00222A4F">
              <w:rPr>
                <w:rStyle w:val="Firstpagetablebold"/>
                <w:b w:val="0"/>
              </w:rPr>
              <w:t>as well as</w:t>
            </w:r>
            <w:r w:rsidR="003F50F9" w:rsidRPr="00222A4F">
              <w:rPr>
                <w:rStyle w:val="Firstpagetablebold"/>
                <w:b w:val="0"/>
              </w:rPr>
              <w:t xml:space="preserve"> the current position </w:t>
            </w:r>
            <w:r w:rsidR="00A91B9B" w:rsidRPr="00222A4F">
              <w:rPr>
                <w:rStyle w:val="Firstpagetablebold"/>
                <w:b w:val="0"/>
              </w:rPr>
              <w:t xml:space="preserve">on risk </w:t>
            </w:r>
            <w:r w:rsidR="00A91B9B" w:rsidRPr="00222A4F">
              <w:rPr>
                <w:rStyle w:val="Firstpagetablebold"/>
                <w:b w:val="0"/>
                <w:color w:val="auto"/>
              </w:rPr>
              <w:t xml:space="preserve">and performance </w:t>
            </w:r>
            <w:proofErr w:type="gramStart"/>
            <w:r w:rsidR="00A91B9B" w:rsidRPr="00222A4F">
              <w:rPr>
                <w:rStyle w:val="Firstpagetablebold"/>
                <w:b w:val="0"/>
              </w:rPr>
              <w:t>at</w:t>
            </w:r>
            <w:proofErr w:type="gramEnd"/>
            <w:r w:rsidR="00A91B9B" w:rsidRPr="00222A4F">
              <w:rPr>
                <w:rStyle w:val="Firstpagetablebold"/>
                <w:b w:val="0"/>
              </w:rPr>
              <w:t xml:space="preserve"> </w:t>
            </w:r>
            <w:r w:rsidR="00A91B9B" w:rsidRPr="001D22E9">
              <w:t>3</w:t>
            </w:r>
            <w:r w:rsidR="0049698A">
              <w:t>0</w:t>
            </w:r>
            <w:r w:rsidR="0049698A" w:rsidRPr="0049698A">
              <w:rPr>
                <w:vertAlign w:val="superscript"/>
              </w:rPr>
              <w:t>th</w:t>
            </w:r>
            <w:r w:rsidR="0049698A">
              <w:t xml:space="preserve"> June</w:t>
            </w:r>
            <w:r w:rsidR="00287B05">
              <w:t xml:space="preserve"> 2025</w:t>
            </w:r>
            <w:r w:rsidR="00AD186F" w:rsidRPr="00A17168">
              <w:t>.</w:t>
            </w:r>
          </w:p>
        </w:tc>
      </w:tr>
    </w:tbl>
    <w:p w14:paraId="123A7E8B" w14:textId="153E23A1" w:rsidR="007A64CE" w:rsidRDefault="007A64CE" w:rsidP="008015E8"/>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188"/>
        <w:gridCol w:w="1701"/>
      </w:tblGrid>
      <w:tr w:rsidR="0047503D" w:rsidRPr="00975B07" w14:paraId="0048E86D" w14:textId="2F14B27A" w:rsidTr="008015E8">
        <w:trPr>
          <w:trHeight w:val="300"/>
        </w:trPr>
        <w:tc>
          <w:tcPr>
            <w:tcW w:w="1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44E83C" w14:textId="2490E1EA" w:rsidR="0047503D" w:rsidRPr="00975B07" w:rsidRDefault="0047503D" w:rsidP="746D2C75">
            <w:pPr>
              <w:spacing w:before="60" w:after="60"/>
              <w:jc w:val="center"/>
            </w:pPr>
            <w:r w:rsidRPr="00745BF0">
              <w:rPr>
                <w:rStyle w:val="Firstpagetablebold"/>
              </w:rPr>
              <w:t>Appendi</w:t>
            </w:r>
            <w:r w:rsidR="006D66A3">
              <w:rPr>
                <w:rStyle w:val="Firstpagetablebold"/>
              </w:rPr>
              <w:t>x No.</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24CFE8" w14:textId="4841862F" w:rsidR="0047503D" w:rsidRPr="008015E8" w:rsidRDefault="006D66A3" w:rsidP="746D2C75">
            <w:pPr>
              <w:spacing w:before="60" w:after="60"/>
              <w:jc w:val="center"/>
              <w:rPr>
                <w:b/>
                <w:bCs/>
              </w:rPr>
            </w:pPr>
            <w:r w:rsidRPr="008015E8">
              <w:rPr>
                <w:b/>
                <w:bCs/>
              </w:rPr>
              <w:t>Appendix Title</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0FCA70" w14:textId="514EC56E" w:rsidR="0047503D" w:rsidRPr="00745BF0" w:rsidRDefault="00124D88" w:rsidP="746D2C75">
            <w:pPr>
              <w:spacing w:before="60" w:after="60"/>
              <w:jc w:val="center"/>
              <w:rPr>
                <w:rStyle w:val="Firstpagetablebold"/>
              </w:rPr>
            </w:pPr>
            <w:r>
              <w:rPr>
                <w:rStyle w:val="Firstpagetablebold"/>
              </w:rPr>
              <w:t>Exempt from Publication</w:t>
            </w:r>
          </w:p>
        </w:tc>
      </w:tr>
      <w:tr w:rsidR="00C03F57" w:rsidRPr="00975B07" w14:paraId="24F7CD61" w14:textId="3A5D082C" w:rsidTr="008015E8">
        <w:trPr>
          <w:trHeight w:val="300"/>
        </w:trPr>
        <w:tc>
          <w:tcPr>
            <w:tcW w:w="1491" w:type="dxa"/>
            <w:tcBorders>
              <w:top w:val="single" w:sz="4" w:space="0" w:color="auto"/>
              <w:left w:val="single" w:sz="4" w:space="0" w:color="auto"/>
              <w:bottom w:val="single" w:sz="4" w:space="0" w:color="auto"/>
              <w:right w:val="single" w:sz="4" w:space="0" w:color="auto"/>
            </w:tcBorders>
          </w:tcPr>
          <w:p w14:paraId="52D7B0EC" w14:textId="6CC74F06" w:rsidR="00857F02" w:rsidRDefault="00857F02" w:rsidP="00310837">
            <w:pPr>
              <w:spacing w:before="60" w:after="60"/>
            </w:pPr>
            <w:r>
              <w:t xml:space="preserve">Appendix </w:t>
            </w:r>
            <w:r w:rsidR="00CC0BE2">
              <w:t>1</w:t>
            </w:r>
          </w:p>
          <w:p w14:paraId="37AB246D" w14:textId="7BA9728A" w:rsidR="00857F02" w:rsidRDefault="00857F02" w:rsidP="00310837">
            <w:pPr>
              <w:spacing w:before="60" w:after="0"/>
            </w:pPr>
            <w:r>
              <w:t xml:space="preserve">Appendix </w:t>
            </w:r>
            <w:r w:rsidR="00CC0BE2">
              <w:t>2</w:t>
            </w:r>
          </w:p>
          <w:p w14:paraId="0551C2AD" w14:textId="77777777" w:rsidR="0064030C" w:rsidRDefault="0064030C" w:rsidP="00310837">
            <w:pPr>
              <w:spacing w:before="60" w:after="0"/>
            </w:pPr>
          </w:p>
          <w:p w14:paraId="1B13B0F5" w14:textId="32FFE834" w:rsidR="00857F02" w:rsidRPr="00975B07" w:rsidRDefault="00857F02" w:rsidP="00310837">
            <w:pPr>
              <w:spacing w:before="60" w:after="60"/>
            </w:pPr>
            <w:r>
              <w:t xml:space="preserve">Appendix </w:t>
            </w:r>
            <w:r w:rsidR="00CC0BE2">
              <w:t>3</w:t>
            </w:r>
          </w:p>
        </w:tc>
        <w:tc>
          <w:tcPr>
            <w:tcW w:w="6188" w:type="dxa"/>
            <w:tcBorders>
              <w:top w:val="nil"/>
              <w:left w:val="single" w:sz="4" w:space="0" w:color="auto"/>
              <w:bottom w:val="single" w:sz="8" w:space="0" w:color="000000" w:themeColor="text1"/>
              <w:right w:val="single" w:sz="8" w:space="0" w:color="000000" w:themeColor="text1"/>
            </w:tcBorders>
          </w:tcPr>
          <w:p w14:paraId="5D786D36" w14:textId="46847186" w:rsidR="00857F02" w:rsidRPr="009D32A0" w:rsidRDefault="00857F02" w:rsidP="00310837">
            <w:pPr>
              <w:spacing w:before="60" w:after="60"/>
            </w:pPr>
            <w:r w:rsidRPr="009D32A0">
              <w:t xml:space="preserve">General Fund </w:t>
            </w:r>
            <w:r>
              <w:t>–</w:t>
            </w:r>
            <w:r w:rsidRPr="009D32A0">
              <w:t xml:space="preserve"> </w:t>
            </w:r>
            <w:r w:rsidR="0049698A">
              <w:t xml:space="preserve">June </w:t>
            </w:r>
            <w:r w:rsidR="00287B05">
              <w:t>2025</w:t>
            </w:r>
            <w:r w:rsidRPr="009D32A0">
              <w:t xml:space="preserve"> </w:t>
            </w:r>
            <w:r w:rsidRPr="0049698A">
              <w:t>Forecast</w:t>
            </w:r>
            <w:r w:rsidRPr="009D32A0">
              <w:t xml:space="preserve"> Outturn</w:t>
            </w:r>
          </w:p>
          <w:p w14:paraId="70029205" w14:textId="06FB3301" w:rsidR="00857F02" w:rsidRPr="009D32A0" w:rsidRDefault="00857F02" w:rsidP="00310837">
            <w:pPr>
              <w:spacing w:before="60"/>
            </w:pPr>
            <w:bookmarkStart w:id="0" w:name="_Hlk189229784"/>
            <w:r w:rsidRPr="009D32A0">
              <w:t xml:space="preserve">Housing Revenue Account </w:t>
            </w:r>
            <w:r>
              <w:t>–</w:t>
            </w:r>
            <w:r w:rsidRPr="009D32A0">
              <w:t xml:space="preserve"> </w:t>
            </w:r>
            <w:r w:rsidR="0049698A">
              <w:t>June</w:t>
            </w:r>
            <w:r w:rsidR="00287B05">
              <w:t xml:space="preserve"> 2025</w:t>
            </w:r>
            <w:r>
              <w:t xml:space="preserve"> </w:t>
            </w:r>
            <w:r w:rsidRPr="0049698A">
              <w:t>Forecast</w:t>
            </w:r>
            <w:r w:rsidRPr="009D32A0">
              <w:t xml:space="preserve"> Outturn</w:t>
            </w:r>
          </w:p>
          <w:bookmarkEnd w:id="0"/>
          <w:p w14:paraId="69F2DC3C" w14:textId="54158C7E" w:rsidR="00857F02" w:rsidRPr="00964187" w:rsidRDefault="00857F02" w:rsidP="00310837">
            <w:pPr>
              <w:spacing w:before="60" w:after="60"/>
            </w:pPr>
            <w:r w:rsidRPr="009D32A0">
              <w:t xml:space="preserve">Capital Programme – </w:t>
            </w:r>
            <w:r w:rsidR="0049698A">
              <w:t>June</w:t>
            </w:r>
            <w:r w:rsidR="00287B05">
              <w:t xml:space="preserve"> 2025</w:t>
            </w:r>
          </w:p>
        </w:tc>
        <w:tc>
          <w:tcPr>
            <w:tcW w:w="1701" w:type="dxa"/>
            <w:tcBorders>
              <w:top w:val="nil"/>
              <w:left w:val="single" w:sz="4" w:space="0" w:color="auto"/>
              <w:bottom w:val="single" w:sz="8" w:space="0" w:color="000000" w:themeColor="text1"/>
              <w:right w:val="single" w:sz="8" w:space="0" w:color="000000" w:themeColor="text1"/>
            </w:tcBorders>
          </w:tcPr>
          <w:p w14:paraId="4B1B7B05" w14:textId="77777777" w:rsidR="00857F02" w:rsidRDefault="00124D88" w:rsidP="00310837">
            <w:pPr>
              <w:spacing w:before="60" w:after="60"/>
            </w:pPr>
            <w:r>
              <w:t>No</w:t>
            </w:r>
          </w:p>
          <w:p w14:paraId="36D8D668" w14:textId="77777777" w:rsidR="00124D88" w:rsidRDefault="00124D88" w:rsidP="00310837">
            <w:pPr>
              <w:spacing w:before="60" w:after="60"/>
            </w:pPr>
            <w:r>
              <w:t>No</w:t>
            </w:r>
          </w:p>
          <w:p w14:paraId="13D68129" w14:textId="77777777" w:rsidR="0064030C" w:rsidRDefault="0064030C" w:rsidP="00310837">
            <w:pPr>
              <w:spacing w:before="60" w:after="60"/>
            </w:pPr>
          </w:p>
          <w:p w14:paraId="1E0F4FEF" w14:textId="31F80B4E" w:rsidR="00124D88" w:rsidRPr="009D32A0" w:rsidRDefault="00124D88" w:rsidP="00310837">
            <w:pPr>
              <w:spacing w:before="60" w:after="60"/>
            </w:pPr>
            <w:r>
              <w:t>No</w:t>
            </w:r>
          </w:p>
        </w:tc>
      </w:tr>
    </w:tbl>
    <w:p w14:paraId="01179467" w14:textId="77042A48" w:rsidR="00124D88" w:rsidRPr="008015E8" w:rsidRDefault="00124D88" w:rsidP="008015E8"/>
    <w:p w14:paraId="1AAEF7B8" w14:textId="594D4765" w:rsidR="007A64CE" w:rsidRDefault="007A64CE">
      <w:pPr>
        <w:spacing w:after="0"/>
      </w:pPr>
      <w:r>
        <w:br w:type="page"/>
      </w:r>
    </w:p>
    <w:p w14:paraId="518EC513" w14:textId="7B34C2EF" w:rsidR="0040736F" w:rsidRPr="00871859" w:rsidRDefault="716FB854" w:rsidP="004A6D2F">
      <w:pPr>
        <w:pStyle w:val="Heading1"/>
        <w:rPr>
          <w:color w:val="auto"/>
        </w:rPr>
      </w:pPr>
      <w:r w:rsidRPr="14BF4969">
        <w:rPr>
          <w:color w:val="auto"/>
        </w:rPr>
        <w:lastRenderedPageBreak/>
        <w:t>I</w:t>
      </w:r>
      <w:r w:rsidR="4CB20B34" w:rsidRPr="14BF4969">
        <w:rPr>
          <w:color w:val="auto"/>
        </w:rPr>
        <w:t>ntroduction and b</w:t>
      </w:r>
      <w:r w:rsidR="77A20A22" w:rsidRPr="14BF4969">
        <w:rPr>
          <w:color w:val="auto"/>
        </w:rPr>
        <w:t>ackground</w:t>
      </w:r>
      <w:r w:rsidR="41E65D8E" w:rsidRPr="14BF4969">
        <w:rPr>
          <w:color w:val="auto"/>
        </w:rPr>
        <w:t xml:space="preserve"> </w:t>
      </w:r>
    </w:p>
    <w:p w14:paraId="571A21D5" w14:textId="62B71B61" w:rsidR="00DD021A" w:rsidRPr="007D27B8" w:rsidRDefault="36A9D1C1" w:rsidP="004061A5">
      <w:pPr>
        <w:pStyle w:val="ListParagraph"/>
        <w:numPr>
          <w:ilvl w:val="0"/>
          <w:numId w:val="5"/>
        </w:numPr>
        <w:tabs>
          <w:tab w:val="clear" w:pos="426"/>
        </w:tabs>
        <w:ind w:left="851" w:hanging="567"/>
      </w:pPr>
      <w:r w:rsidRPr="007D27B8">
        <w:t xml:space="preserve">This report </w:t>
      </w:r>
      <w:r w:rsidR="6932CF35" w:rsidRPr="007D27B8">
        <w:t xml:space="preserve">updates the </w:t>
      </w:r>
      <w:r w:rsidR="21EC3946" w:rsidRPr="007D27B8">
        <w:t>Cabinet</w:t>
      </w:r>
      <w:r w:rsidR="6932CF35" w:rsidRPr="007D27B8">
        <w:t xml:space="preserve"> on the</w:t>
      </w:r>
      <w:r w:rsidR="446598DC" w:rsidRPr="007D27B8">
        <w:t xml:space="preserve"> financial</w:t>
      </w:r>
      <w:r w:rsidR="59CDF7E9" w:rsidRPr="007D27B8">
        <w:t>, corporate p</w:t>
      </w:r>
      <w:r w:rsidR="6932CF35" w:rsidRPr="007D27B8">
        <w:t xml:space="preserve">erformance </w:t>
      </w:r>
      <w:r w:rsidR="59CDF7E9" w:rsidRPr="007D27B8">
        <w:t xml:space="preserve">and corporate risk positions </w:t>
      </w:r>
      <w:r w:rsidR="6932CF35" w:rsidRPr="007D27B8">
        <w:t xml:space="preserve">of the Council </w:t>
      </w:r>
      <w:proofErr w:type="gramStart"/>
      <w:r w:rsidR="6932CF35" w:rsidRPr="007D27B8">
        <w:t>at</w:t>
      </w:r>
      <w:proofErr w:type="gramEnd"/>
      <w:r w:rsidR="6932CF35" w:rsidRPr="007D27B8">
        <w:t xml:space="preserve"> 3</w:t>
      </w:r>
      <w:r w:rsidR="00EC48AB" w:rsidRPr="007D27B8">
        <w:t>0th June</w:t>
      </w:r>
      <w:r w:rsidR="00287B05" w:rsidRPr="007D27B8">
        <w:t xml:space="preserve"> 2025</w:t>
      </w:r>
      <w:r w:rsidR="0074685F" w:rsidRPr="007D27B8">
        <w:t>.</w:t>
      </w:r>
    </w:p>
    <w:p w14:paraId="2FF52025" w14:textId="549B2C8F" w:rsidR="00FB70AC" w:rsidRPr="00285AB7" w:rsidRDefault="61063836" w:rsidP="003976F3">
      <w:pPr>
        <w:pStyle w:val="Heading1"/>
        <w:rPr>
          <w:color w:val="auto"/>
        </w:rPr>
      </w:pPr>
      <w:r w:rsidRPr="004061A5">
        <w:rPr>
          <w:color w:val="auto"/>
        </w:rPr>
        <w:t xml:space="preserve">Financial </w:t>
      </w:r>
      <w:r w:rsidR="006C483B" w:rsidRPr="004061A5">
        <w:rPr>
          <w:color w:val="auto"/>
        </w:rPr>
        <w:t>Position</w:t>
      </w:r>
      <w:r w:rsidR="7F76ECE6" w:rsidRPr="004061A5">
        <w:rPr>
          <w:color w:val="auto"/>
        </w:rPr>
        <w:t xml:space="preserve"> Overview</w:t>
      </w:r>
    </w:p>
    <w:p w14:paraId="1C8BE93F" w14:textId="0238D1ED" w:rsidR="00EC48AB" w:rsidRPr="007D27B8" w:rsidRDefault="00C2674F" w:rsidP="001A76FE">
      <w:pPr>
        <w:pStyle w:val="ListParagraph"/>
        <w:numPr>
          <w:ilvl w:val="0"/>
          <w:numId w:val="5"/>
        </w:numPr>
        <w:tabs>
          <w:tab w:val="clear" w:pos="426"/>
        </w:tabs>
        <w:ind w:left="851" w:hanging="567"/>
      </w:pPr>
      <w:r w:rsidRPr="001A76FE">
        <w:rPr>
          <w:b/>
          <w:bCs/>
        </w:rPr>
        <w:t>General Fund</w:t>
      </w:r>
      <w:r>
        <w:t xml:space="preserve"> </w:t>
      </w:r>
      <w:r w:rsidR="00477C55">
        <w:t xml:space="preserve">(GF) </w:t>
      </w:r>
      <w:r>
        <w:t xml:space="preserve">– </w:t>
      </w:r>
      <w:r w:rsidR="00EC48AB">
        <w:t xml:space="preserve">The General Fund is reporting an actual deficit of £1.31m for the three months ending 30 June 2025; </w:t>
      </w:r>
      <w:r w:rsidR="00AF7F5D">
        <w:t xml:space="preserve">this is currently expected to be </w:t>
      </w:r>
      <w:r w:rsidR="00202443">
        <w:t xml:space="preserve">partly </w:t>
      </w:r>
      <w:r w:rsidR="00AF7F5D">
        <w:t>redressed during the year such that the</w:t>
      </w:r>
      <w:r w:rsidR="00EC48AB" w:rsidRPr="007D27B8">
        <w:t xml:space="preserve"> projected </w:t>
      </w:r>
      <w:r w:rsidR="00675DB3" w:rsidRPr="007D27B8">
        <w:t xml:space="preserve">2025/26 </w:t>
      </w:r>
      <w:r w:rsidR="00EC48AB" w:rsidRPr="007D27B8">
        <w:t>outturn</w:t>
      </w:r>
      <w:r w:rsidR="00133900">
        <w:t xml:space="preserve"> variance </w:t>
      </w:r>
      <w:r w:rsidR="007613A8">
        <w:t>is a pressure of £0.</w:t>
      </w:r>
      <w:r w:rsidR="003334FC">
        <w:t>656</w:t>
      </w:r>
      <w:r w:rsidR="007613A8">
        <w:t>m</w:t>
      </w:r>
      <w:r w:rsidR="00D014B2">
        <w:t xml:space="preserve"> compared</w:t>
      </w:r>
      <w:r w:rsidR="00483EC1">
        <w:t xml:space="preserve"> </w:t>
      </w:r>
      <w:r w:rsidR="00D014B2">
        <w:t>to</w:t>
      </w:r>
      <w:r w:rsidR="00EC48AB" w:rsidRPr="007D27B8">
        <w:t xml:space="preserve"> the </w:t>
      </w:r>
      <w:r w:rsidR="007D27B8">
        <w:t xml:space="preserve">2025/26 </w:t>
      </w:r>
      <w:r w:rsidR="00EC48AB" w:rsidRPr="007D27B8">
        <w:t>Latest Budget</w:t>
      </w:r>
      <w:r w:rsidR="007D27B8">
        <w:t>.</w:t>
      </w:r>
    </w:p>
    <w:p w14:paraId="0175F603" w14:textId="59E87F5D" w:rsidR="00142A87" w:rsidRPr="007D27B8" w:rsidRDefault="000E49D0" w:rsidP="004061A5">
      <w:pPr>
        <w:ind w:left="851"/>
      </w:pPr>
      <w:r w:rsidRPr="003C4353">
        <w:t xml:space="preserve">Further detail is provided in paragraphs </w:t>
      </w:r>
      <w:r w:rsidR="006A4DDC">
        <w:t>6</w:t>
      </w:r>
      <w:r w:rsidRPr="003C4353">
        <w:t xml:space="preserve"> to </w:t>
      </w:r>
      <w:r w:rsidR="006A4DDC">
        <w:t>8</w:t>
      </w:r>
      <w:r w:rsidR="00463CC8">
        <w:t xml:space="preserve"> </w:t>
      </w:r>
      <w:r w:rsidRPr="003C4353">
        <w:t xml:space="preserve">and </w:t>
      </w:r>
      <w:r w:rsidR="003C4353" w:rsidRPr="003C4353">
        <w:t xml:space="preserve">in </w:t>
      </w:r>
      <w:r w:rsidRPr="003C4353">
        <w:t>Appendix</w:t>
      </w:r>
      <w:r w:rsidR="00CC0BE2">
        <w:t xml:space="preserve"> 1</w:t>
      </w:r>
      <w:r w:rsidRPr="003C4353">
        <w:t>.</w:t>
      </w:r>
    </w:p>
    <w:p w14:paraId="0F06C176" w14:textId="20A8BF49" w:rsidR="00BE42B9" w:rsidRPr="00BE42B9" w:rsidRDefault="00C2674F" w:rsidP="004061A5">
      <w:pPr>
        <w:pStyle w:val="ListParagraph"/>
        <w:numPr>
          <w:ilvl w:val="0"/>
          <w:numId w:val="5"/>
        </w:numPr>
        <w:tabs>
          <w:tab w:val="clear" w:pos="426"/>
        </w:tabs>
        <w:ind w:left="851" w:hanging="567"/>
      </w:pPr>
      <w:r w:rsidRPr="00E655B2">
        <w:rPr>
          <w:b/>
          <w:bCs/>
        </w:rPr>
        <w:t>Housing Revenue Account</w:t>
      </w:r>
      <w:r w:rsidRPr="00BE42B9">
        <w:rPr>
          <w:b/>
          <w:bCs/>
        </w:rPr>
        <w:t xml:space="preserve"> </w:t>
      </w:r>
      <w:r w:rsidR="00477C55" w:rsidRPr="00BE42B9">
        <w:t xml:space="preserve">(HRA) </w:t>
      </w:r>
      <w:r w:rsidRPr="00BE42B9">
        <w:t>–</w:t>
      </w:r>
      <w:r w:rsidR="7306A389" w:rsidRPr="00BE42B9">
        <w:t xml:space="preserve"> </w:t>
      </w:r>
      <w:r w:rsidR="001E3228" w:rsidRPr="00BE42B9">
        <w:t xml:space="preserve">At Q1 2025/26 the HRA currently have a favourable variance of £1.2m mainly due </w:t>
      </w:r>
      <w:r w:rsidR="00BE42B9" w:rsidRPr="00BE42B9">
        <w:t xml:space="preserve">to </w:t>
      </w:r>
      <w:r w:rsidR="001E3228" w:rsidRPr="00BE42B9">
        <w:t>underspend on Responsive &amp; Cyclical Repairs</w:t>
      </w:r>
      <w:r w:rsidR="00BE42B9" w:rsidRPr="00BE42B9">
        <w:t xml:space="preserve"> by £0.88m</w:t>
      </w:r>
      <w:r w:rsidR="001E3228" w:rsidRPr="00BE42B9">
        <w:t xml:space="preserve">; the budget for this category of expenditure has been increased from the 2024/25 level and it is expected to be spent </w:t>
      </w:r>
      <w:r w:rsidR="00BE42B9" w:rsidRPr="00BE42B9">
        <w:t xml:space="preserve">in full </w:t>
      </w:r>
      <w:r w:rsidR="001E3228" w:rsidRPr="00BE42B9">
        <w:t>by year end</w:t>
      </w:r>
      <w:r w:rsidR="00BE42B9" w:rsidRPr="00BE42B9">
        <w:t xml:space="preserve"> 2025/26</w:t>
      </w:r>
      <w:r w:rsidR="001E3228" w:rsidRPr="00BE42B9">
        <w:t xml:space="preserve">. </w:t>
      </w:r>
      <w:r w:rsidR="00780B91">
        <w:t>Stock related Management &amp; Services contributed a favourable variance of £0.47m.</w:t>
      </w:r>
    </w:p>
    <w:p w14:paraId="46F872E4" w14:textId="3AF61EC2" w:rsidR="001E3228" w:rsidRDefault="001E3228" w:rsidP="004061A5">
      <w:pPr>
        <w:ind w:left="851"/>
      </w:pPr>
      <w:r w:rsidRPr="001E3228">
        <w:t xml:space="preserve">The HRA projected outturn for 2025/26 remains the same as the 2025/26 </w:t>
      </w:r>
      <w:r w:rsidR="00BE42B9">
        <w:t xml:space="preserve">original </w:t>
      </w:r>
      <w:r w:rsidRPr="001E3228">
        <w:t>budget.</w:t>
      </w:r>
    </w:p>
    <w:p w14:paraId="28000FA9" w14:textId="6B552FAF" w:rsidR="009D32A0" w:rsidRPr="00E655B2" w:rsidRDefault="000E49D0" w:rsidP="004061A5">
      <w:pPr>
        <w:ind w:left="851"/>
      </w:pPr>
      <w:r>
        <w:t xml:space="preserve">More information is provided in </w:t>
      </w:r>
      <w:r w:rsidRPr="00861CB6">
        <w:t xml:space="preserve">paragraph </w:t>
      </w:r>
      <w:r w:rsidR="006A4DDC">
        <w:t>9</w:t>
      </w:r>
      <w:r>
        <w:t xml:space="preserve"> and Appendix </w:t>
      </w:r>
      <w:r w:rsidR="00CC0BE2">
        <w:t>2</w:t>
      </w:r>
      <w:r>
        <w:t>.</w:t>
      </w:r>
    </w:p>
    <w:p w14:paraId="6F178499" w14:textId="7F724288" w:rsidR="00132E27" w:rsidRPr="00132E27" w:rsidRDefault="5B1BAA90" w:rsidP="00132E27">
      <w:pPr>
        <w:pStyle w:val="ListParagraph"/>
        <w:numPr>
          <w:ilvl w:val="0"/>
          <w:numId w:val="5"/>
        </w:numPr>
        <w:ind w:left="851" w:hanging="567"/>
      </w:pPr>
      <w:r w:rsidRPr="00ED3180">
        <w:rPr>
          <w:b/>
          <w:bCs/>
        </w:rPr>
        <w:t>Capital Programme</w:t>
      </w:r>
      <w:r w:rsidRPr="00AD7C78">
        <w:rPr>
          <w:b/>
          <w:bCs/>
        </w:rPr>
        <w:t xml:space="preserve"> </w:t>
      </w:r>
      <w:r w:rsidRPr="00132E27">
        <w:t xml:space="preserve">– </w:t>
      </w:r>
      <w:r w:rsidR="00ED3180" w:rsidRPr="00132E27">
        <w:t xml:space="preserve">The </w:t>
      </w:r>
      <w:r w:rsidR="00EA6084" w:rsidRPr="00132E27">
        <w:t>20</w:t>
      </w:r>
      <w:r w:rsidR="00ED3180" w:rsidRPr="00132E27">
        <w:t>2</w:t>
      </w:r>
      <w:r w:rsidR="00132E27" w:rsidRPr="00132E27">
        <w:t>5</w:t>
      </w:r>
      <w:r w:rsidR="00ED3180" w:rsidRPr="00132E27">
        <w:t>/2</w:t>
      </w:r>
      <w:r w:rsidR="00132E27" w:rsidRPr="00132E27">
        <w:t>6</w:t>
      </w:r>
      <w:r w:rsidR="00ED3180" w:rsidRPr="00132E27">
        <w:t xml:space="preserve"> budget, as approved at the Council meeting in February 202</w:t>
      </w:r>
      <w:r w:rsidR="00132E27" w:rsidRPr="00132E27">
        <w:t>5</w:t>
      </w:r>
      <w:r w:rsidR="00ED3180" w:rsidRPr="00132E27">
        <w:t xml:space="preserve">, was set at </w:t>
      </w:r>
      <w:r w:rsidR="00ED3180" w:rsidRPr="003569AB">
        <w:t>£</w:t>
      </w:r>
      <w:r w:rsidR="00132E27" w:rsidRPr="003569AB">
        <w:t>179.014</w:t>
      </w:r>
      <w:r w:rsidR="00ED3180" w:rsidRPr="003569AB">
        <w:t>m</w:t>
      </w:r>
      <w:r w:rsidR="00F70899">
        <w:t>.</w:t>
      </w:r>
      <w:r w:rsidR="00ED3180" w:rsidRPr="003569AB">
        <w:t xml:space="preserve"> </w:t>
      </w:r>
      <w:r w:rsidR="00F70899">
        <w:t>The</w:t>
      </w:r>
      <w:r w:rsidR="00ED3180" w:rsidRPr="003569AB">
        <w:t xml:space="preserve"> carry forward of unspent balances in </w:t>
      </w:r>
      <w:r w:rsidR="000A38A2" w:rsidRPr="003569AB">
        <w:t>20</w:t>
      </w:r>
      <w:r w:rsidR="00ED3180" w:rsidRPr="003569AB">
        <w:t>2</w:t>
      </w:r>
      <w:r w:rsidR="00132E27" w:rsidRPr="003569AB">
        <w:t>4</w:t>
      </w:r>
      <w:r w:rsidR="00ED3180" w:rsidRPr="003569AB">
        <w:t>/2</w:t>
      </w:r>
      <w:r w:rsidR="00132E27" w:rsidRPr="003569AB">
        <w:t>5</w:t>
      </w:r>
      <w:r w:rsidR="00ED3180" w:rsidRPr="003569AB">
        <w:t xml:space="preserve"> of £</w:t>
      </w:r>
      <w:r w:rsidR="003569AB" w:rsidRPr="003569AB">
        <w:t>9.321m and £31.412m of additional budget changes</w:t>
      </w:r>
      <w:r w:rsidR="00ED3180" w:rsidRPr="003569AB">
        <w:t xml:space="preserve"> including new allocations, a further revision of the Housing Company Loans and HRA property purchases programme</w:t>
      </w:r>
      <w:r w:rsidR="00F70899">
        <w:t xml:space="preserve"> since the setting of the budget in February</w:t>
      </w:r>
      <w:r w:rsidR="00ED3180" w:rsidRPr="003569AB">
        <w:t>, lead</w:t>
      </w:r>
      <w:r w:rsidR="00F70899">
        <w:t>s</w:t>
      </w:r>
      <w:r w:rsidR="00ED3180" w:rsidRPr="00132E27">
        <w:t xml:space="preserve"> to a revised </w:t>
      </w:r>
      <w:r w:rsidR="00F70899">
        <w:t xml:space="preserve">2025/26 </w:t>
      </w:r>
      <w:r w:rsidR="00ED3180" w:rsidRPr="00132E27">
        <w:t>latest budget of £</w:t>
      </w:r>
      <w:r w:rsidR="00132E27" w:rsidRPr="00132E27">
        <w:t>219.747</w:t>
      </w:r>
      <w:r w:rsidR="00477C55" w:rsidRPr="00132E27">
        <w:t>m</w:t>
      </w:r>
      <w:r w:rsidR="00ED3180" w:rsidRPr="00132E27">
        <w:t>.</w:t>
      </w:r>
      <w:r w:rsidR="00477C55" w:rsidRPr="00132E27">
        <w:t xml:space="preserve"> </w:t>
      </w:r>
    </w:p>
    <w:p w14:paraId="226F2F11" w14:textId="0C000263" w:rsidR="005C14B2" w:rsidRDefault="00477C55" w:rsidP="00132E27">
      <w:pPr>
        <w:ind w:left="851"/>
      </w:pPr>
      <w:r w:rsidRPr="0084029B">
        <w:t xml:space="preserve">The </w:t>
      </w:r>
      <w:r w:rsidR="000A38A2">
        <w:t>202</w:t>
      </w:r>
      <w:r w:rsidR="00132E27">
        <w:t>5</w:t>
      </w:r>
      <w:r w:rsidR="000A38A2">
        <w:t>/2</w:t>
      </w:r>
      <w:r w:rsidR="00132E27">
        <w:t>6</w:t>
      </w:r>
      <w:r w:rsidRPr="0084029B">
        <w:t xml:space="preserve"> forecast outturn stands at £</w:t>
      </w:r>
      <w:r w:rsidR="00132E27">
        <w:t>208.645</w:t>
      </w:r>
      <w:r w:rsidRPr="0084029B">
        <w:t>m</w:t>
      </w:r>
      <w:r w:rsidR="00483EC1">
        <w:t xml:space="preserve"> compared</w:t>
      </w:r>
      <w:r w:rsidR="001A76FE">
        <w:t xml:space="preserve"> to this revised latest budget</w:t>
      </w:r>
      <w:r w:rsidRPr="0084029B">
        <w:t xml:space="preserve">, </w:t>
      </w:r>
      <w:r w:rsidR="00483EC1">
        <w:t xml:space="preserve">which is </w:t>
      </w:r>
      <w:r w:rsidRPr="0084029B">
        <w:t>a variance of £</w:t>
      </w:r>
      <w:r w:rsidR="00132E27">
        <w:t>11.1</w:t>
      </w:r>
      <w:r w:rsidRPr="0084029B">
        <w:t xml:space="preserve">m due to slippage of </w:t>
      </w:r>
      <w:r w:rsidR="00132E27" w:rsidRPr="0084029B">
        <w:t>programme</w:t>
      </w:r>
      <w:r w:rsidRPr="0084029B">
        <w:t xml:space="preserve"> spend </w:t>
      </w:r>
      <w:r w:rsidR="00F70899">
        <w:t>since May</w:t>
      </w:r>
      <w:r w:rsidR="001A76FE">
        <w:t>,</w:t>
      </w:r>
      <w:r w:rsidR="00F70899">
        <w:t xml:space="preserve"> </w:t>
      </w:r>
      <w:r w:rsidRPr="0084029B">
        <w:t>split between GF related of £</w:t>
      </w:r>
      <w:r w:rsidR="00132E27">
        <w:t>7.9</w:t>
      </w:r>
      <w:r w:rsidR="0084029B" w:rsidRPr="0084029B">
        <w:t>m</w:t>
      </w:r>
      <w:r w:rsidRPr="0084029B">
        <w:t xml:space="preserve"> and HRA related of £</w:t>
      </w:r>
      <w:r w:rsidR="00132E27">
        <w:t>3.2</w:t>
      </w:r>
      <w:r w:rsidRPr="0084029B">
        <w:t>m.</w:t>
      </w:r>
      <w:r w:rsidR="00D01880" w:rsidRPr="0084029B">
        <w:t xml:space="preserve"> </w:t>
      </w:r>
      <w:bookmarkStart w:id="1" w:name="_Hlk189433343"/>
    </w:p>
    <w:p w14:paraId="0537494B" w14:textId="02D1BE5C" w:rsidR="006B222F" w:rsidRDefault="00D01880" w:rsidP="005C14B2">
      <w:pPr>
        <w:ind w:left="851"/>
      </w:pPr>
      <w:r w:rsidRPr="00861CB6">
        <w:t xml:space="preserve">Further detail and analysis </w:t>
      </w:r>
      <w:r w:rsidR="000E49D0" w:rsidRPr="00861CB6">
        <w:t>are</w:t>
      </w:r>
      <w:r w:rsidRPr="00861CB6">
        <w:t xml:space="preserve"> provided in paragraphs </w:t>
      </w:r>
      <w:r w:rsidR="00415FA3">
        <w:t>10</w:t>
      </w:r>
      <w:r w:rsidRPr="00861CB6">
        <w:t xml:space="preserve"> to </w:t>
      </w:r>
      <w:r w:rsidR="00415FA3">
        <w:t>15</w:t>
      </w:r>
      <w:r w:rsidR="000E49D0" w:rsidRPr="00861CB6">
        <w:t xml:space="preserve"> and </w:t>
      </w:r>
      <w:r w:rsidR="00861CB6">
        <w:t xml:space="preserve">in </w:t>
      </w:r>
      <w:r w:rsidR="000E49D0" w:rsidRPr="00861CB6">
        <w:t>Appendix</w:t>
      </w:r>
      <w:r w:rsidR="000E49D0" w:rsidRPr="0084029B">
        <w:t xml:space="preserve"> </w:t>
      </w:r>
      <w:r w:rsidR="00CC0BE2">
        <w:t>3</w:t>
      </w:r>
      <w:r w:rsidRPr="0084029B">
        <w:t>.</w:t>
      </w:r>
    </w:p>
    <w:bookmarkEnd w:id="1"/>
    <w:p w14:paraId="4DA70AB2" w14:textId="77777777" w:rsidR="00463CC8" w:rsidRPr="00463CC8" w:rsidRDefault="006C483B" w:rsidP="00463CC8">
      <w:pPr>
        <w:pStyle w:val="ListParagraph"/>
        <w:numPr>
          <w:ilvl w:val="0"/>
          <w:numId w:val="5"/>
        </w:numPr>
        <w:ind w:left="851" w:hanging="567"/>
      </w:pPr>
      <w:r w:rsidRPr="00463CC8">
        <w:rPr>
          <w:b/>
          <w:bCs/>
        </w:rPr>
        <w:t xml:space="preserve">Corporate </w:t>
      </w:r>
      <w:r w:rsidR="00C2674F" w:rsidRPr="00463CC8">
        <w:rPr>
          <w:b/>
          <w:bCs/>
        </w:rPr>
        <w:t>Risk Management</w:t>
      </w:r>
      <w:r w:rsidR="00650642" w:rsidRPr="00463CC8">
        <w:rPr>
          <w:b/>
          <w:bCs/>
        </w:rPr>
        <w:t xml:space="preserve"> </w:t>
      </w:r>
      <w:r w:rsidR="00650642" w:rsidRPr="00463CC8">
        <w:t xml:space="preserve">– </w:t>
      </w:r>
      <w:r w:rsidR="009B78A1" w:rsidRPr="00463CC8">
        <w:t xml:space="preserve">At </w:t>
      </w:r>
      <w:r w:rsidR="00EA6084" w:rsidRPr="00463CC8">
        <w:t xml:space="preserve">the end of </w:t>
      </w:r>
      <w:r w:rsidR="00BC47BE" w:rsidRPr="00463CC8">
        <w:t>Q</w:t>
      </w:r>
      <w:r w:rsidR="00463CC8" w:rsidRPr="00463CC8">
        <w:t>1</w:t>
      </w:r>
      <w:r w:rsidR="00EA6084" w:rsidRPr="00463CC8">
        <w:t xml:space="preserve"> 20</w:t>
      </w:r>
      <w:r w:rsidR="009B78A1" w:rsidRPr="00463CC8">
        <w:t>2</w:t>
      </w:r>
      <w:r w:rsidR="00041BBB" w:rsidRPr="00463CC8">
        <w:t>5</w:t>
      </w:r>
      <w:r w:rsidR="009B78A1" w:rsidRPr="00463CC8">
        <w:t>/2</w:t>
      </w:r>
      <w:r w:rsidR="00041BBB" w:rsidRPr="00463CC8">
        <w:t>6</w:t>
      </w:r>
      <w:r w:rsidR="009B78A1" w:rsidRPr="00463CC8">
        <w:t xml:space="preserve"> in the latest update to the current Corporate Risk Register there are 1</w:t>
      </w:r>
      <w:r w:rsidR="00463CC8" w:rsidRPr="00463CC8">
        <w:t>4</w:t>
      </w:r>
      <w:r w:rsidR="009B78A1" w:rsidRPr="00463CC8">
        <w:t xml:space="preserve"> risks registered, an increase of </w:t>
      </w:r>
      <w:r w:rsidR="00463CC8" w:rsidRPr="00463CC8">
        <w:t>two</w:t>
      </w:r>
      <w:r w:rsidR="009B78A1" w:rsidRPr="00463CC8">
        <w:t xml:space="preserve"> from </w:t>
      </w:r>
      <w:r w:rsidR="00EA6084" w:rsidRPr="00463CC8">
        <w:t>Q</w:t>
      </w:r>
      <w:r w:rsidR="00041BBB" w:rsidRPr="00463CC8">
        <w:t>3 2024/25</w:t>
      </w:r>
      <w:r w:rsidR="009B78A1" w:rsidRPr="00463CC8">
        <w:t xml:space="preserve">. </w:t>
      </w:r>
    </w:p>
    <w:p w14:paraId="20104AA8" w14:textId="77777777" w:rsidR="00463CC8" w:rsidRDefault="009B78A1" w:rsidP="00463CC8">
      <w:pPr>
        <w:ind w:left="851"/>
      </w:pPr>
      <w:r w:rsidRPr="00463CC8">
        <w:t xml:space="preserve">There are </w:t>
      </w:r>
      <w:r w:rsidR="00041BBB" w:rsidRPr="00463CC8">
        <w:t>six</w:t>
      </w:r>
      <w:r w:rsidRPr="00463CC8">
        <w:t xml:space="preserve"> red corporate risks </w:t>
      </w:r>
      <w:proofErr w:type="gramStart"/>
      <w:r w:rsidRPr="00463CC8">
        <w:t>at</w:t>
      </w:r>
      <w:proofErr w:type="gramEnd"/>
      <w:r w:rsidRPr="00463CC8">
        <w:t xml:space="preserve"> 3</w:t>
      </w:r>
      <w:r w:rsidR="00041BBB" w:rsidRPr="00463CC8">
        <w:t>0 June 2025</w:t>
      </w:r>
      <w:r w:rsidRPr="00463CC8">
        <w:t xml:space="preserve"> which is an increase of one with the category ‘Red’ since Q</w:t>
      </w:r>
      <w:r w:rsidR="00463CC8" w:rsidRPr="00463CC8">
        <w:t>3 2024/25</w:t>
      </w:r>
      <w:r w:rsidRPr="00463CC8">
        <w:t xml:space="preserve">. The </w:t>
      </w:r>
      <w:r w:rsidR="00463CC8" w:rsidRPr="00463CC8">
        <w:t>six</w:t>
      </w:r>
      <w:r w:rsidRPr="00463CC8">
        <w:t xml:space="preserve"> red risks at the end of Q</w:t>
      </w:r>
      <w:r w:rsidR="00463CC8" w:rsidRPr="00463CC8">
        <w:t>1 2025/26</w:t>
      </w:r>
      <w:r w:rsidRPr="00463CC8">
        <w:t xml:space="preserve"> </w:t>
      </w:r>
      <w:r w:rsidR="00251AD9" w:rsidRPr="00463CC8">
        <w:t>relate to</w:t>
      </w:r>
      <w:r w:rsidR="00463CC8" w:rsidRPr="00463CC8">
        <w:t>:</w:t>
      </w:r>
      <w:r w:rsidR="00177808" w:rsidRPr="00463CC8">
        <w:t xml:space="preserve"> </w:t>
      </w:r>
    </w:p>
    <w:p w14:paraId="3D8A262D" w14:textId="77777777" w:rsidR="00463CC8" w:rsidRPr="00E25AD1" w:rsidRDefault="00177808" w:rsidP="00E25AD1">
      <w:pPr>
        <w:pStyle w:val="ListParagraph"/>
        <w:numPr>
          <w:ilvl w:val="0"/>
          <w:numId w:val="46"/>
        </w:numPr>
        <w:ind w:left="1276" w:hanging="425"/>
        <w:contextualSpacing/>
      </w:pPr>
      <w:r w:rsidRPr="00E25AD1">
        <w:t xml:space="preserve">Financial </w:t>
      </w:r>
      <w:proofErr w:type="gramStart"/>
      <w:r w:rsidR="009B78A1" w:rsidRPr="00E25AD1">
        <w:t>s</w:t>
      </w:r>
      <w:r w:rsidR="001E17F1" w:rsidRPr="00E25AD1">
        <w:t>tability</w:t>
      </w:r>
      <w:r w:rsidR="00463CC8" w:rsidRPr="00E25AD1">
        <w:t>;</w:t>
      </w:r>
      <w:proofErr w:type="gramEnd"/>
      <w:r w:rsidR="00463CC8" w:rsidRPr="00E25AD1">
        <w:t xml:space="preserve"> </w:t>
      </w:r>
    </w:p>
    <w:p w14:paraId="056478CD" w14:textId="77777777" w:rsidR="00463CC8" w:rsidRPr="00E25AD1" w:rsidRDefault="00463CC8" w:rsidP="00E25AD1">
      <w:pPr>
        <w:pStyle w:val="ListParagraph"/>
        <w:numPr>
          <w:ilvl w:val="0"/>
          <w:numId w:val="46"/>
        </w:numPr>
        <w:ind w:left="1276" w:hanging="425"/>
        <w:contextualSpacing/>
      </w:pPr>
      <w:proofErr w:type="gramStart"/>
      <w:r w:rsidRPr="00E25AD1">
        <w:t>Flood;</w:t>
      </w:r>
      <w:proofErr w:type="gramEnd"/>
      <w:r w:rsidRPr="00E25AD1">
        <w:t xml:space="preserve"> </w:t>
      </w:r>
    </w:p>
    <w:p w14:paraId="5B286066" w14:textId="77777777" w:rsidR="00463CC8" w:rsidRPr="00E25AD1" w:rsidRDefault="00463CC8" w:rsidP="00E25AD1">
      <w:pPr>
        <w:pStyle w:val="ListParagraph"/>
        <w:numPr>
          <w:ilvl w:val="0"/>
          <w:numId w:val="46"/>
        </w:numPr>
        <w:ind w:left="1276" w:hanging="425"/>
        <w:contextualSpacing/>
      </w:pPr>
      <w:r w:rsidRPr="00E25AD1">
        <w:t xml:space="preserve">A utilities infrastructure that does not meet the needs of the </w:t>
      </w:r>
      <w:proofErr w:type="gramStart"/>
      <w:r w:rsidRPr="00E25AD1">
        <w:t>city;</w:t>
      </w:r>
      <w:proofErr w:type="gramEnd"/>
      <w:r w:rsidRPr="00E25AD1">
        <w:t xml:space="preserve"> </w:t>
      </w:r>
    </w:p>
    <w:p w14:paraId="23F85200" w14:textId="77777777" w:rsidR="00463CC8" w:rsidRPr="00E25AD1" w:rsidRDefault="00463CC8" w:rsidP="00E25AD1">
      <w:pPr>
        <w:pStyle w:val="ListParagraph"/>
        <w:numPr>
          <w:ilvl w:val="0"/>
          <w:numId w:val="46"/>
        </w:numPr>
        <w:ind w:left="1276" w:hanging="425"/>
        <w:contextualSpacing/>
      </w:pPr>
      <w:r w:rsidRPr="00E25AD1">
        <w:t xml:space="preserve">Cybersecurity and IT infrastructure </w:t>
      </w:r>
      <w:proofErr w:type="gramStart"/>
      <w:r w:rsidRPr="00E25AD1">
        <w:t>resilience;</w:t>
      </w:r>
      <w:proofErr w:type="gramEnd"/>
      <w:r w:rsidRPr="00E25AD1">
        <w:t xml:space="preserve">  </w:t>
      </w:r>
    </w:p>
    <w:p w14:paraId="175C831C" w14:textId="77777777" w:rsidR="00463CC8" w:rsidRPr="00E25AD1" w:rsidRDefault="00463CC8" w:rsidP="00E25AD1">
      <w:pPr>
        <w:pStyle w:val="ListParagraph"/>
        <w:numPr>
          <w:ilvl w:val="0"/>
          <w:numId w:val="46"/>
        </w:numPr>
        <w:ind w:left="1276" w:hanging="425"/>
        <w:contextualSpacing/>
      </w:pPr>
      <w:r w:rsidRPr="00E25AD1">
        <w:t xml:space="preserve">Addressing the causes and impacts of climate </w:t>
      </w:r>
      <w:proofErr w:type="gramStart"/>
      <w:r w:rsidRPr="00E25AD1">
        <w:t>change;</w:t>
      </w:r>
      <w:proofErr w:type="gramEnd"/>
      <w:r w:rsidRPr="00E25AD1">
        <w:t xml:space="preserve"> </w:t>
      </w:r>
    </w:p>
    <w:p w14:paraId="532DC326" w14:textId="77777777" w:rsidR="00463CC8" w:rsidRPr="00E25AD1" w:rsidRDefault="00463CC8" w:rsidP="00E25AD1">
      <w:pPr>
        <w:pStyle w:val="ListParagraph"/>
        <w:numPr>
          <w:ilvl w:val="0"/>
          <w:numId w:val="46"/>
        </w:numPr>
        <w:ind w:left="1276" w:hanging="425"/>
        <w:contextualSpacing/>
      </w:pPr>
      <w:r w:rsidRPr="00E25AD1">
        <w:t>A failure to deliver Temporary Accommodation strategies to meet demand and increases in homelessness</w:t>
      </w:r>
      <w:r w:rsidR="009B78A1" w:rsidRPr="00E25AD1">
        <w:t>.</w:t>
      </w:r>
      <w:r w:rsidR="00BB420C" w:rsidRPr="00E25AD1">
        <w:t xml:space="preserve"> </w:t>
      </w:r>
    </w:p>
    <w:p w14:paraId="6807B664" w14:textId="4C884854" w:rsidR="00C2674F" w:rsidRPr="00E25AD1" w:rsidRDefault="00BB420C" w:rsidP="00463CC8">
      <w:pPr>
        <w:ind w:left="851"/>
      </w:pPr>
      <w:r w:rsidRPr="00463CC8">
        <w:t>M</w:t>
      </w:r>
      <w:r w:rsidR="0013140F" w:rsidRPr="00463CC8">
        <w:t xml:space="preserve">ore details </w:t>
      </w:r>
      <w:r w:rsidR="00177808" w:rsidRPr="00463CC8">
        <w:t xml:space="preserve">on </w:t>
      </w:r>
      <w:r w:rsidR="009B78A1" w:rsidRPr="00463CC8">
        <w:t xml:space="preserve">the </w:t>
      </w:r>
      <w:r w:rsidR="00463CC8" w:rsidRPr="00463CC8">
        <w:t xml:space="preserve">Council’s </w:t>
      </w:r>
      <w:r w:rsidR="00E25AD1">
        <w:t xml:space="preserve">corporate and service </w:t>
      </w:r>
      <w:r w:rsidR="009B78A1" w:rsidRPr="00463CC8">
        <w:t xml:space="preserve">risks </w:t>
      </w:r>
      <w:r w:rsidR="0013140F" w:rsidRPr="00463CC8">
        <w:t xml:space="preserve">can be found </w:t>
      </w:r>
      <w:r w:rsidR="008530EB" w:rsidRPr="00463CC8">
        <w:t xml:space="preserve">in </w:t>
      </w:r>
      <w:r w:rsidR="008530EB" w:rsidRPr="00E25AD1">
        <w:t>paragraph</w:t>
      </w:r>
      <w:r w:rsidR="00132A6F" w:rsidRPr="00E25AD1">
        <w:t>s</w:t>
      </w:r>
      <w:r w:rsidR="008530EB" w:rsidRPr="00E25AD1">
        <w:t xml:space="preserve"> </w:t>
      </w:r>
      <w:r w:rsidR="00415FA3">
        <w:t>16</w:t>
      </w:r>
      <w:r w:rsidR="00132A6F" w:rsidRPr="00E25AD1">
        <w:t xml:space="preserve"> to </w:t>
      </w:r>
      <w:r w:rsidR="00415FA3">
        <w:t>21</w:t>
      </w:r>
      <w:r w:rsidR="00203B41" w:rsidRPr="00E25AD1">
        <w:t>.</w:t>
      </w:r>
    </w:p>
    <w:p w14:paraId="0AECFEE3" w14:textId="7A98DEE1" w:rsidR="006C483B" w:rsidRPr="00861CB6" w:rsidRDefault="006C483B" w:rsidP="00861CB6">
      <w:pPr>
        <w:spacing w:after="0"/>
        <w:rPr>
          <w:b/>
          <w:bCs/>
          <w:color w:val="auto"/>
        </w:rPr>
      </w:pPr>
      <w:r w:rsidRPr="00861CB6">
        <w:rPr>
          <w:b/>
          <w:bCs/>
          <w:color w:val="auto"/>
        </w:rPr>
        <w:lastRenderedPageBreak/>
        <w:t>Financial Position</w:t>
      </w:r>
      <w:r w:rsidR="7F76ECE6" w:rsidRPr="00861CB6">
        <w:rPr>
          <w:b/>
          <w:bCs/>
          <w:color w:val="auto"/>
        </w:rPr>
        <w:t xml:space="preserve"> Detailed Analysis</w:t>
      </w:r>
    </w:p>
    <w:p w14:paraId="40FAF4CD" w14:textId="77777777" w:rsidR="00536A53" w:rsidRPr="00240FF5" w:rsidRDefault="43B3B428" w:rsidP="00D45DF3">
      <w:pPr>
        <w:pStyle w:val="Heading1"/>
        <w:rPr>
          <w:color w:val="auto"/>
        </w:rPr>
      </w:pPr>
      <w:r w:rsidRPr="00465DB6">
        <w:rPr>
          <w:color w:val="auto"/>
        </w:rPr>
        <w:t>General Fund Revenue</w:t>
      </w:r>
    </w:p>
    <w:p w14:paraId="768E27FF" w14:textId="234B9609" w:rsidR="00C41ADA" w:rsidRDefault="1EF22EA6" w:rsidP="00D45DF3">
      <w:pPr>
        <w:pStyle w:val="ListParagraph"/>
        <w:numPr>
          <w:ilvl w:val="0"/>
          <w:numId w:val="5"/>
        </w:numPr>
        <w:tabs>
          <w:tab w:val="clear" w:pos="426"/>
        </w:tabs>
        <w:ind w:left="851" w:hanging="567"/>
      </w:pPr>
      <w:r>
        <w:t xml:space="preserve">The </w:t>
      </w:r>
      <w:r w:rsidR="13BAFF69">
        <w:t xml:space="preserve">overall </w:t>
      </w:r>
      <w:r w:rsidR="008F0ADE">
        <w:t>N</w:t>
      </w:r>
      <w:r w:rsidR="3DFB6C05">
        <w:t>et</w:t>
      </w:r>
      <w:r w:rsidR="610A0199">
        <w:t xml:space="preserve"> </w:t>
      </w:r>
      <w:r w:rsidR="2F8A73AF">
        <w:t>B</w:t>
      </w:r>
      <w:r w:rsidR="13BAFF69">
        <w:t xml:space="preserve">udget </w:t>
      </w:r>
      <w:r w:rsidR="008F0ADE">
        <w:t xml:space="preserve">Requirement </w:t>
      </w:r>
      <w:r w:rsidR="00423EAB">
        <w:t xml:space="preserve">for </w:t>
      </w:r>
      <w:r w:rsidR="000A38A2">
        <w:t>202</w:t>
      </w:r>
      <w:r w:rsidR="00A67AD1">
        <w:t>5</w:t>
      </w:r>
      <w:r w:rsidR="000A38A2">
        <w:t>/2</w:t>
      </w:r>
      <w:r w:rsidR="00A67AD1">
        <w:t>6</w:t>
      </w:r>
      <w:r w:rsidR="00423EAB">
        <w:t xml:space="preserve"> </w:t>
      </w:r>
      <w:r w:rsidR="7CA8868B">
        <w:t>a</w:t>
      </w:r>
      <w:r w:rsidR="21EC3946">
        <w:t>greed by the</w:t>
      </w:r>
      <w:r w:rsidR="0B207DA2">
        <w:t xml:space="preserve"> Council in February 202</w:t>
      </w:r>
      <w:r w:rsidR="00A67AD1">
        <w:t>5</w:t>
      </w:r>
      <w:r w:rsidR="13BAFF69">
        <w:t xml:space="preserve"> was £</w:t>
      </w:r>
      <w:r w:rsidR="00A67AD1">
        <w:t>30.25m</w:t>
      </w:r>
      <w:r w:rsidR="2E360C37">
        <w:t xml:space="preserve"> after a £</w:t>
      </w:r>
      <w:r w:rsidR="00A67AD1">
        <w:t>3.38m</w:t>
      </w:r>
      <w:r w:rsidR="2E360C37">
        <w:t xml:space="preserve"> transfer </w:t>
      </w:r>
      <w:r w:rsidR="00490593">
        <w:t>to</w:t>
      </w:r>
      <w:r w:rsidR="2E360C37">
        <w:t xml:space="preserve"> </w:t>
      </w:r>
      <w:r w:rsidR="53BC0759">
        <w:t xml:space="preserve">general </w:t>
      </w:r>
      <w:r w:rsidR="2E360C37">
        <w:t>reserve</w:t>
      </w:r>
      <w:r w:rsidR="7299EEBF">
        <w:t>s</w:t>
      </w:r>
      <w:r w:rsidR="40B0E61B">
        <w:t>.</w:t>
      </w:r>
    </w:p>
    <w:p w14:paraId="5DF0FA82" w14:textId="05EF54DF" w:rsidR="00490593" w:rsidRPr="00240FF5" w:rsidRDefault="003851F3" w:rsidP="00B47B2D">
      <w:pPr>
        <w:pStyle w:val="ListParagraph"/>
        <w:numPr>
          <w:ilvl w:val="0"/>
          <w:numId w:val="5"/>
        </w:numPr>
        <w:tabs>
          <w:tab w:val="clear" w:pos="426"/>
        </w:tabs>
        <w:ind w:left="851" w:hanging="567"/>
      </w:pPr>
      <w:r>
        <w:t xml:space="preserve">Following </w:t>
      </w:r>
      <w:r w:rsidR="00490593">
        <w:t xml:space="preserve">budget virements </w:t>
      </w:r>
      <w:r>
        <w:t xml:space="preserve">and the release of the central pay contingency </w:t>
      </w:r>
      <w:r w:rsidR="00490593">
        <w:t xml:space="preserve">between </w:t>
      </w:r>
      <w:r w:rsidR="00B47B2D">
        <w:t xml:space="preserve">directorate budgets and earmarked reserves in 1Q, the 2025/26 Latest Budget remains in balance. </w:t>
      </w:r>
      <w:proofErr w:type="gramStart"/>
      <w:r w:rsidR="00B47B2D">
        <w:t>At</w:t>
      </w:r>
      <w:proofErr w:type="gramEnd"/>
      <w:r w:rsidR="00B47B2D">
        <w:t xml:space="preserve"> </w:t>
      </w:r>
      <w:r w:rsidR="00490593">
        <w:t xml:space="preserve">30 June 2025, there is </w:t>
      </w:r>
      <w:r w:rsidR="00CC7CE1">
        <w:t>a</w:t>
      </w:r>
      <w:r w:rsidR="00490593">
        <w:t xml:space="preserve"> </w:t>
      </w:r>
      <w:r>
        <w:t>for</w:t>
      </w:r>
      <w:r w:rsidR="00C71E47">
        <w:t>e</w:t>
      </w:r>
      <w:r>
        <w:t>cast</w:t>
      </w:r>
      <w:r w:rsidR="00490593">
        <w:t xml:space="preserve"> change to this position with </w:t>
      </w:r>
      <w:r w:rsidR="00CC7CE1">
        <w:t xml:space="preserve">an adverse </w:t>
      </w:r>
      <w:r w:rsidR="00490593" w:rsidRPr="007D27B8">
        <w:t xml:space="preserve">projected 2025/26 outturn </w:t>
      </w:r>
      <w:r w:rsidR="00CC7CE1">
        <w:t>variance of £0.</w:t>
      </w:r>
      <w:r w:rsidR="003334FC">
        <w:t>656</w:t>
      </w:r>
      <w:r w:rsidR="00CC7CE1">
        <w:t xml:space="preserve">m </w:t>
      </w:r>
      <w:r w:rsidR="00D61122">
        <w:t>compared to</w:t>
      </w:r>
      <w:r w:rsidR="00490593" w:rsidRPr="007D27B8">
        <w:t xml:space="preserve"> the </w:t>
      </w:r>
      <w:r w:rsidR="00490593">
        <w:t xml:space="preserve">2025/26 </w:t>
      </w:r>
      <w:r w:rsidR="00490593" w:rsidRPr="007D27B8">
        <w:t>Latest Budget</w:t>
      </w:r>
      <w:r w:rsidR="00490593">
        <w:t>.</w:t>
      </w:r>
    </w:p>
    <w:p w14:paraId="08E3A1E6" w14:textId="42C3D1E3" w:rsidR="005B62E5" w:rsidRDefault="00A67AD1" w:rsidP="005B62E5">
      <w:pPr>
        <w:pStyle w:val="ListParagraph"/>
        <w:numPr>
          <w:ilvl w:val="0"/>
          <w:numId w:val="5"/>
        </w:numPr>
        <w:ind w:left="851" w:hanging="567"/>
      </w:pPr>
      <w:r w:rsidRPr="00A67AD1">
        <w:t>The General Fund is reporting an actual deficit of £1.31m for the three months ending 30 June 2025</w:t>
      </w:r>
      <w:r w:rsidR="00B7385B">
        <w:t>, which can be attributed to:</w:t>
      </w:r>
    </w:p>
    <w:p w14:paraId="6098C769" w14:textId="6E2CF4CC" w:rsidR="005B62E5" w:rsidRPr="005B62E5" w:rsidRDefault="005B62E5" w:rsidP="003E0DDB">
      <w:pPr>
        <w:pStyle w:val="Bulletpoints"/>
        <w:numPr>
          <w:ilvl w:val="0"/>
          <w:numId w:val="0"/>
        </w:numPr>
        <w:ind w:left="810"/>
      </w:pPr>
      <w:r w:rsidRPr="003E0DDB">
        <w:rPr>
          <w:b/>
          <w:bCs/>
          <w:u w:val="single"/>
        </w:rPr>
        <w:t>Corporate Property</w:t>
      </w:r>
      <w:r w:rsidRPr="005B62E5">
        <w:t xml:space="preserve"> – actual </w:t>
      </w:r>
      <w:r w:rsidR="00B7385B">
        <w:t>pressure</w:t>
      </w:r>
      <w:r w:rsidRPr="005B62E5">
        <w:t xml:space="preserve"> </w:t>
      </w:r>
      <w:r w:rsidR="00287CB8">
        <w:t xml:space="preserve">in Q1 </w:t>
      </w:r>
      <w:r w:rsidRPr="005B62E5">
        <w:t>of £</w:t>
      </w:r>
      <w:r>
        <w:t>0.</w:t>
      </w:r>
      <w:r w:rsidRPr="005B62E5">
        <w:t>81</w:t>
      </w:r>
      <w:r>
        <w:t>m</w:t>
      </w:r>
      <w:r w:rsidRPr="005B62E5">
        <w:t xml:space="preserve"> </w:t>
      </w:r>
      <w:r w:rsidR="00B7385B">
        <w:t>from</w:t>
      </w:r>
      <w:r w:rsidRPr="005B62E5">
        <w:t>:</w:t>
      </w:r>
    </w:p>
    <w:p w14:paraId="14FB9DCB" w14:textId="77777777" w:rsidR="005B62E5" w:rsidRDefault="005B62E5" w:rsidP="003E0DDB">
      <w:pPr>
        <w:pStyle w:val="ListParagraph"/>
        <w:numPr>
          <w:ilvl w:val="1"/>
          <w:numId w:val="36"/>
        </w:numPr>
        <w:ind w:left="1134" w:hanging="283"/>
      </w:pPr>
      <w:r w:rsidRPr="005B62E5">
        <w:t>a shortfall in rental income by £</w:t>
      </w:r>
      <w:r>
        <w:t>0.</w:t>
      </w:r>
      <w:r w:rsidRPr="005B62E5">
        <w:t>373</w:t>
      </w:r>
      <w:r>
        <w:t>m</w:t>
      </w:r>
      <w:r w:rsidRPr="005B62E5">
        <w:t xml:space="preserve"> compared the profiled budget for 1Q; the most recent profiling of actual rental income shows a significant increase expected in 4Q</w:t>
      </w:r>
    </w:p>
    <w:p w14:paraId="242B6CB3" w14:textId="6DC5FBEE" w:rsidR="00465DB6" w:rsidRPr="005B62E5" w:rsidRDefault="00465DB6" w:rsidP="00465DB6">
      <w:pPr>
        <w:pStyle w:val="ListParagraph"/>
        <w:numPr>
          <w:ilvl w:val="1"/>
          <w:numId w:val="36"/>
        </w:numPr>
        <w:ind w:left="1134" w:hanging="283"/>
      </w:pPr>
      <w:r w:rsidRPr="005B62E5">
        <w:rPr>
          <w:color w:val="000000" w:themeColor="text1"/>
        </w:rPr>
        <w:t>unbudgeted temporary staff costs of £</w:t>
      </w:r>
      <w:r>
        <w:rPr>
          <w:color w:val="000000" w:themeColor="text1"/>
        </w:rPr>
        <w:t>0.</w:t>
      </w:r>
      <w:r w:rsidRPr="005B62E5">
        <w:rPr>
          <w:color w:val="000000" w:themeColor="text1"/>
        </w:rPr>
        <w:t>3</w:t>
      </w:r>
      <w:r>
        <w:rPr>
          <w:color w:val="000000" w:themeColor="text1"/>
        </w:rPr>
        <w:t>m</w:t>
      </w:r>
      <w:r w:rsidR="00B7385B">
        <w:rPr>
          <w:color w:val="000000" w:themeColor="text1"/>
        </w:rPr>
        <w:t xml:space="preserve"> for vacancies and specialist staff, </w:t>
      </w:r>
      <w:r w:rsidR="00BF64D9">
        <w:rPr>
          <w:color w:val="000000" w:themeColor="text1"/>
        </w:rPr>
        <w:t xml:space="preserve">most of which </w:t>
      </w:r>
      <w:r w:rsidR="003851F3">
        <w:rPr>
          <w:color w:val="000000" w:themeColor="text1"/>
        </w:rPr>
        <w:t xml:space="preserve">will be </w:t>
      </w:r>
      <w:r w:rsidR="00BF64D9">
        <w:rPr>
          <w:color w:val="000000" w:themeColor="text1"/>
        </w:rPr>
        <w:t>re</w:t>
      </w:r>
      <w:r w:rsidR="00B7385B">
        <w:rPr>
          <w:color w:val="000000" w:themeColor="text1"/>
        </w:rPr>
        <w:t>charge</w:t>
      </w:r>
      <w:r w:rsidR="003851F3">
        <w:rPr>
          <w:color w:val="000000" w:themeColor="text1"/>
        </w:rPr>
        <w:t>d</w:t>
      </w:r>
      <w:r w:rsidR="00B7385B">
        <w:rPr>
          <w:color w:val="000000" w:themeColor="text1"/>
        </w:rPr>
        <w:t xml:space="preserve"> to the HRA</w:t>
      </w:r>
    </w:p>
    <w:p w14:paraId="18338BEB" w14:textId="626456CA" w:rsidR="005B62E5" w:rsidRPr="005B62E5" w:rsidRDefault="005B62E5" w:rsidP="003E0DDB">
      <w:pPr>
        <w:ind w:left="810"/>
      </w:pPr>
      <w:r w:rsidRPr="003E0DDB">
        <w:rPr>
          <w:b/>
          <w:bCs/>
          <w:u w:val="single"/>
        </w:rPr>
        <w:t>Community &amp; Citizen Services</w:t>
      </w:r>
      <w:r w:rsidRPr="003E0DDB">
        <w:rPr>
          <w:b/>
          <w:bCs/>
        </w:rPr>
        <w:t xml:space="preserve"> </w:t>
      </w:r>
      <w:r w:rsidRPr="0020267A">
        <w:t xml:space="preserve">– </w:t>
      </w:r>
      <w:r w:rsidR="007136A3">
        <w:t>an</w:t>
      </w:r>
      <w:r w:rsidRPr="0020267A">
        <w:t xml:space="preserve"> actual underspend of £0.608m</w:t>
      </w:r>
      <w:r w:rsidRPr="005B62E5">
        <w:t xml:space="preserve"> </w:t>
      </w:r>
      <w:r w:rsidR="007136A3">
        <w:t>in</w:t>
      </w:r>
      <w:r w:rsidR="00483EC1">
        <w:t xml:space="preserve"> </w:t>
      </w:r>
      <w:r w:rsidRPr="005B62E5">
        <w:t>1Q relat</w:t>
      </w:r>
      <w:r w:rsidR="007136A3">
        <w:t>ing</w:t>
      </w:r>
      <w:r w:rsidRPr="005B62E5">
        <w:t xml:space="preserve"> mainly to:</w:t>
      </w:r>
    </w:p>
    <w:p w14:paraId="5B5CFC05" w14:textId="33C31E5F" w:rsidR="005B62E5" w:rsidRPr="005B62E5" w:rsidRDefault="005B62E5" w:rsidP="003E0DDB">
      <w:pPr>
        <w:pStyle w:val="ListParagraph"/>
        <w:numPr>
          <w:ilvl w:val="1"/>
          <w:numId w:val="36"/>
        </w:numPr>
        <w:ind w:left="1134" w:hanging="283"/>
        <w:rPr>
          <w:color w:val="000000" w:themeColor="text1"/>
        </w:rPr>
      </w:pPr>
      <w:r w:rsidRPr="005B62E5">
        <w:rPr>
          <w:color w:val="000000" w:themeColor="text1"/>
        </w:rPr>
        <w:t xml:space="preserve">Sport underspend </w:t>
      </w:r>
      <w:r w:rsidR="00483EC1">
        <w:rPr>
          <w:color w:val="000000" w:themeColor="text1"/>
        </w:rPr>
        <w:t>from</w:t>
      </w:r>
      <w:r w:rsidR="00195C1F">
        <w:rPr>
          <w:color w:val="000000" w:themeColor="text1"/>
        </w:rPr>
        <w:t xml:space="preserve"> grant balances </w:t>
      </w:r>
      <w:r w:rsidR="00BF1490">
        <w:rPr>
          <w:color w:val="000000" w:themeColor="text1"/>
        </w:rPr>
        <w:t>brought forward from 2024/25</w:t>
      </w:r>
      <w:r w:rsidR="00483EC1">
        <w:rPr>
          <w:color w:val="000000" w:themeColor="text1"/>
        </w:rPr>
        <w:t xml:space="preserve"> of</w:t>
      </w:r>
      <w:r w:rsidR="00C8160D">
        <w:rPr>
          <w:color w:val="000000" w:themeColor="text1"/>
        </w:rPr>
        <w:t xml:space="preserve"> </w:t>
      </w:r>
      <w:r w:rsidR="00B668EE">
        <w:rPr>
          <w:color w:val="000000" w:themeColor="text1"/>
        </w:rPr>
        <w:t>£0.315</w:t>
      </w:r>
      <w:r w:rsidR="00C53349">
        <w:rPr>
          <w:color w:val="000000" w:themeColor="text1"/>
        </w:rPr>
        <w:t xml:space="preserve">m </w:t>
      </w:r>
      <w:r w:rsidR="00CB0109">
        <w:rPr>
          <w:color w:val="000000" w:themeColor="text1"/>
        </w:rPr>
        <w:t xml:space="preserve">which are </w:t>
      </w:r>
      <w:r w:rsidR="00656980">
        <w:rPr>
          <w:color w:val="000000" w:themeColor="text1"/>
        </w:rPr>
        <w:t xml:space="preserve">predicted to be fully spent </w:t>
      </w:r>
      <w:r w:rsidR="00F841CF">
        <w:rPr>
          <w:color w:val="000000" w:themeColor="text1"/>
        </w:rPr>
        <w:t xml:space="preserve">at year end </w:t>
      </w:r>
      <w:r w:rsidR="0031227C">
        <w:rPr>
          <w:color w:val="000000" w:themeColor="text1"/>
        </w:rPr>
        <w:t>in March 2026</w:t>
      </w:r>
    </w:p>
    <w:p w14:paraId="193D35B1" w14:textId="637A9CFD" w:rsidR="005B62E5" w:rsidRPr="005B62E5" w:rsidRDefault="005B62E5" w:rsidP="003E0DDB">
      <w:pPr>
        <w:pStyle w:val="ListParagraph"/>
        <w:numPr>
          <w:ilvl w:val="1"/>
          <w:numId w:val="36"/>
        </w:numPr>
        <w:ind w:left="1134" w:hanging="283"/>
        <w:rPr>
          <w:color w:val="000000" w:themeColor="text1"/>
        </w:rPr>
      </w:pPr>
      <w:r w:rsidRPr="005B62E5">
        <w:rPr>
          <w:color w:val="000000" w:themeColor="text1"/>
        </w:rPr>
        <w:t>Community Centres underspend of £</w:t>
      </w:r>
      <w:r>
        <w:rPr>
          <w:color w:val="000000" w:themeColor="text1"/>
        </w:rPr>
        <w:t>0.</w:t>
      </w:r>
      <w:r w:rsidRPr="005B62E5">
        <w:rPr>
          <w:color w:val="000000" w:themeColor="text1"/>
        </w:rPr>
        <w:t>128</w:t>
      </w:r>
      <w:r>
        <w:rPr>
          <w:color w:val="000000" w:themeColor="text1"/>
        </w:rPr>
        <w:t>m</w:t>
      </w:r>
      <w:r w:rsidRPr="005B62E5">
        <w:rPr>
          <w:color w:val="000000" w:themeColor="text1"/>
        </w:rPr>
        <w:t xml:space="preserve"> from savings on salaries, premises costs such as business rates, utilities and waste </w:t>
      </w:r>
      <w:proofErr w:type="gramStart"/>
      <w:r w:rsidRPr="005B62E5">
        <w:rPr>
          <w:color w:val="000000" w:themeColor="text1"/>
        </w:rPr>
        <w:t xml:space="preserve">bills </w:t>
      </w:r>
      <w:r w:rsidR="007136A3">
        <w:rPr>
          <w:color w:val="000000" w:themeColor="text1"/>
        </w:rPr>
        <w:t xml:space="preserve"> </w:t>
      </w:r>
      <w:r w:rsidRPr="005B62E5">
        <w:rPr>
          <w:color w:val="000000" w:themeColor="text1"/>
        </w:rPr>
        <w:t>and</w:t>
      </w:r>
      <w:proofErr w:type="gramEnd"/>
      <w:r w:rsidRPr="005B62E5">
        <w:rPr>
          <w:color w:val="000000" w:themeColor="text1"/>
        </w:rPr>
        <w:t xml:space="preserve"> a</w:t>
      </w:r>
      <w:r>
        <w:rPr>
          <w:color w:val="000000" w:themeColor="text1"/>
        </w:rPr>
        <w:t xml:space="preserve"> marginal </w:t>
      </w:r>
      <w:r w:rsidRPr="005B62E5">
        <w:rPr>
          <w:color w:val="000000" w:themeColor="text1"/>
        </w:rPr>
        <w:t>income surplus</w:t>
      </w:r>
      <w:r w:rsidR="007136A3">
        <w:rPr>
          <w:color w:val="000000" w:themeColor="text1"/>
        </w:rPr>
        <w:t xml:space="preserve">. </w:t>
      </w:r>
      <w:r w:rsidR="00E80115">
        <w:rPr>
          <w:color w:val="000000" w:themeColor="text1"/>
        </w:rPr>
        <w:t xml:space="preserve">Costs </w:t>
      </w:r>
      <w:r w:rsidR="0000315C">
        <w:rPr>
          <w:color w:val="000000" w:themeColor="text1"/>
        </w:rPr>
        <w:t xml:space="preserve">are expected to </w:t>
      </w:r>
      <w:r w:rsidR="00E05E22">
        <w:rPr>
          <w:color w:val="000000" w:themeColor="text1"/>
        </w:rPr>
        <w:t>pick up</w:t>
      </w:r>
      <w:r w:rsidR="0000315C">
        <w:rPr>
          <w:color w:val="000000" w:themeColor="text1"/>
        </w:rPr>
        <w:t xml:space="preserve"> during th</w:t>
      </w:r>
      <w:r w:rsidR="00F55E7F">
        <w:rPr>
          <w:color w:val="000000" w:themeColor="text1"/>
        </w:rPr>
        <w:t xml:space="preserve">e year and </w:t>
      </w:r>
      <w:r w:rsidR="00E05E22">
        <w:rPr>
          <w:color w:val="000000" w:themeColor="text1"/>
        </w:rPr>
        <w:t>once the</w:t>
      </w:r>
      <w:r w:rsidR="00AC524F">
        <w:rPr>
          <w:color w:val="000000" w:themeColor="text1"/>
        </w:rPr>
        <w:t xml:space="preserve"> community</w:t>
      </w:r>
      <w:r w:rsidR="00A80308">
        <w:rPr>
          <w:color w:val="000000" w:themeColor="text1"/>
        </w:rPr>
        <w:t xml:space="preserve"> centres are re-opened</w:t>
      </w:r>
      <w:r w:rsidR="00632E04">
        <w:rPr>
          <w:color w:val="000000" w:themeColor="text1"/>
        </w:rPr>
        <w:t>,</w:t>
      </w:r>
      <w:r w:rsidR="00E20191">
        <w:rPr>
          <w:color w:val="000000" w:themeColor="text1"/>
        </w:rPr>
        <w:t xml:space="preserve"> therefore n</w:t>
      </w:r>
      <w:r w:rsidR="00CE556F" w:rsidRPr="00CE556F">
        <w:rPr>
          <w:color w:val="000000" w:themeColor="text1"/>
        </w:rPr>
        <w:t xml:space="preserve">o </w:t>
      </w:r>
      <w:proofErr w:type="spellStart"/>
      <w:r w:rsidR="00CE556F">
        <w:rPr>
          <w:color w:val="000000" w:themeColor="text1"/>
        </w:rPr>
        <w:t>y</w:t>
      </w:r>
      <w:r w:rsidR="00CE556F" w:rsidRPr="00CE556F">
        <w:rPr>
          <w:color w:val="000000" w:themeColor="text1"/>
        </w:rPr>
        <w:t xml:space="preserve">ear </w:t>
      </w:r>
      <w:r w:rsidR="00CE556F">
        <w:rPr>
          <w:color w:val="000000" w:themeColor="text1"/>
        </w:rPr>
        <w:t>e</w:t>
      </w:r>
      <w:r w:rsidR="00CE556F" w:rsidRPr="00CE556F">
        <w:rPr>
          <w:color w:val="000000" w:themeColor="text1"/>
        </w:rPr>
        <w:t>nd</w:t>
      </w:r>
      <w:proofErr w:type="spellEnd"/>
      <w:r w:rsidR="00CE556F" w:rsidRPr="00CE556F">
        <w:rPr>
          <w:color w:val="000000" w:themeColor="text1"/>
        </w:rPr>
        <w:t xml:space="preserve"> </w:t>
      </w:r>
      <w:r w:rsidR="00CE556F">
        <w:rPr>
          <w:color w:val="000000" w:themeColor="text1"/>
        </w:rPr>
        <w:t xml:space="preserve">outturn </w:t>
      </w:r>
      <w:r w:rsidR="00CE556F" w:rsidRPr="00CE556F">
        <w:rPr>
          <w:color w:val="000000" w:themeColor="text1"/>
        </w:rPr>
        <w:t>variance</w:t>
      </w:r>
      <w:r w:rsidR="00CE556F">
        <w:rPr>
          <w:color w:val="000000" w:themeColor="text1"/>
        </w:rPr>
        <w:t xml:space="preserve"> is </w:t>
      </w:r>
      <w:r w:rsidR="5FABF687" w:rsidRPr="69B2DD28">
        <w:rPr>
          <w:color w:val="000000" w:themeColor="text1"/>
        </w:rPr>
        <w:t xml:space="preserve">currently </w:t>
      </w:r>
      <w:r w:rsidR="00E20191">
        <w:rPr>
          <w:color w:val="000000" w:themeColor="text1"/>
        </w:rPr>
        <w:t>predicted</w:t>
      </w:r>
      <w:r w:rsidR="00CE556F" w:rsidRPr="00CE556F">
        <w:rPr>
          <w:color w:val="000000" w:themeColor="text1"/>
        </w:rPr>
        <w:t>.</w:t>
      </w:r>
    </w:p>
    <w:p w14:paraId="5C419407" w14:textId="7C3F8305" w:rsidR="005B62E5" w:rsidRDefault="000F0C4E" w:rsidP="003E0DDB">
      <w:pPr>
        <w:pStyle w:val="ListParagraph"/>
        <w:numPr>
          <w:ilvl w:val="1"/>
          <w:numId w:val="36"/>
        </w:numPr>
        <w:ind w:left="1134" w:hanging="283"/>
        <w:rPr>
          <w:color w:val="000000" w:themeColor="text1"/>
        </w:rPr>
      </w:pPr>
      <w:r>
        <w:rPr>
          <w:color w:val="000000" w:themeColor="text1"/>
        </w:rPr>
        <w:t xml:space="preserve">Community Grants </w:t>
      </w:r>
      <w:r w:rsidR="00D926C3">
        <w:rPr>
          <w:color w:val="000000" w:themeColor="text1"/>
        </w:rPr>
        <w:t>has an</w:t>
      </w:r>
      <w:r w:rsidR="005B62E5" w:rsidRPr="005B62E5">
        <w:rPr>
          <w:color w:val="000000" w:themeColor="text1"/>
        </w:rPr>
        <w:t xml:space="preserve"> underspend of £</w:t>
      </w:r>
      <w:r w:rsidR="0020267A">
        <w:rPr>
          <w:color w:val="000000" w:themeColor="text1"/>
        </w:rPr>
        <w:t>0.</w:t>
      </w:r>
      <w:r w:rsidR="005B62E5" w:rsidRPr="005B62E5">
        <w:rPr>
          <w:color w:val="000000" w:themeColor="text1"/>
        </w:rPr>
        <w:t>1</w:t>
      </w:r>
      <w:r w:rsidR="00620951">
        <w:rPr>
          <w:color w:val="000000" w:themeColor="text1"/>
        </w:rPr>
        <w:t>22</w:t>
      </w:r>
      <w:r w:rsidR="0020267A">
        <w:rPr>
          <w:color w:val="000000" w:themeColor="text1"/>
        </w:rPr>
        <w:t>m</w:t>
      </w:r>
      <w:r w:rsidR="005B62E5" w:rsidRPr="005B62E5">
        <w:rPr>
          <w:color w:val="000000" w:themeColor="text1"/>
        </w:rPr>
        <w:t xml:space="preserve"> </w:t>
      </w:r>
      <w:r w:rsidR="009D0A36">
        <w:rPr>
          <w:color w:val="000000" w:themeColor="text1"/>
        </w:rPr>
        <w:t xml:space="preserve">in 1Q due to timing </w:t>
      </w:r>
      <w:r w:rsidR="7FE66748" w:rsidRPr="2C114866">
        <w:rPr>
          <w:color w:val="000000" w:themeColor="text1"/>
        </w:rPr>
        <w:t xml:space="preserve">of payments </w:t>
      </w:r>
      <w:r w:rsidR="00B470CA" w:rsidRPr="2C114866">
        <w:rPr>
          <w:color w:val="000000" w:themeColor="text1"/>
        </w:rPr>
        <w:t>v</w:t>
      </w:r>
      <w:r w:rsidR="021C971B" w:rsidRPr="2C114866">
        <w:rPr>
          <w:color w:val="000000" w:themeColor="text1"/>
        </w:rPr>
        <w:t>er</w:t>
      </w:r>
      <w:r w:rsidR="00B470CA" w:rsidRPr="2C114866">
        <w:rPr>
          <w:color w:val="000000" w:themeColor="text1"/>
        </w:rPr>
        <w:t>s</w:t>
      </w:r>
      <w:r w:rsidR="478071CA" w:rsidRPr="2C114866">
        <w:rPr>
          <w:color w:val="000000" w:themeColor="text1"/>
        </w:rPr>
        <w:t xml:space="preserve">us the </w:t>
      </w:r>
      <w:r w:rsidR="00B470CA">
        <w:rPr>
          <w:color w:val="000000" w:themeColor="text1"/>
        </w:rPr>
        <w:t xml:space="preserve">budgeted profile </w:t>
      </w:r>
      <w:proofErr w:type="gramStart"/>
      <w:r w:rsidR="00B470CA" w:rsidRPr="2B2C6C51">
        <w:rPr>
          <w:color w:val="000000" w:themeColor="text1"/>
        </w:rPr>
        <w:t>spend</w:t>
      </w:r>
      <w:r w:rsidR="5D69A593" w:rsidRPr="2B2C6C51">
        <w:rPr>
          <w:color w:val="000000" w:themeColor="text1"/>
        </w:rPr>
        <w:t>.</w:t>
      </w:r>
      <w:r w:rsidR="00104BAF">
        <w:rPr>
          <w:color w:val="000000" w:themeColor="text1"/>
        </w:rPr>
        <w:t>.</w:t>
      </w:r>
      <w:proofErr w:type="gramEnd"/>
      <w:r w:rsidR="005B62E5" w:rsidRPr="005B62E5">
        <w:rPr>
          <w:color w:val="000000" w:themeColor="text1"/>
        </w:rPr>
        <w:t xml:space="preserve"> Community Grants </w:t>
      </w:r>
      <w:r w:rsidR="007136A3">
        <w:rPr>
          <w:color w:val="000000" w:themeColor="text1"/>
        </w:rPr>
        <w:t xml:space="preserve">is projected to be spent </w:t>
      </w:r>
      <w:r w:rsidR="00E52232">
        <w:rPr>
          <w:color w:val="000000" w:themeColor="text1"/>
        </w:rPr>
        <w:t xml:space="preserve">in full </w:t>
      </w:r>
      <w:r w:rsidR="007136A3">
        <w:rPr>
          <w:color w:val="000000" w:themeColor="text1"/>
        </w:rPr>
        <w:t>according to budget by year end</w:t>
      </w:r>
      <w:r w:rsidR="00E17CF8">
        <w:rPr>
          <w:color w:val="000000" w:themeColor="text1"/>
        </w:rPr>
        <w:t xml:space="preserve"> March 2026.</w:t>
      </w:r>
    </w:p>
    <w:p w14:paraId="23599251" w14:textId="2A3E64E2" w:rsidR="0020267A" w:rsidRPr="0020267A" w:rsidRDefault="0020267A" w:rsidP="003E0DDB">
      <w:pPr>
        <w:pStyle w:val="ListParagraph"/>
        <w:numPr>
          <w:ilvl w:val="1"/>
          <w:numId w:val="36"/>
        </w:numPr>
        <w:ind w:left="1134" w:hanging="283"/>
        <w:rPr>
          <w:color w:val="000000" w:themeColor="text1"/>
        </w:rPr>
      </w:pPr>
      <w:r w:rsidRPr="005B62E5">
        <w:rPr>
          <w:color w:val="000000" w:themeColor="text1"/>
        </w:rPr>
        <w:t>Leisure underspend of £</w:t>
      </w:r>
      <w:r>
        <w:rPr>
          <w:color w:val="000000" w:themeColor="text1"/>
        </w:rPr>
        <w:t>0.0</w:t>
      </w:r>
      <w:r w:rsidRPr="005B62E5">
        <w:rPr>
          <w:color w:val="000000" w:themeColor="text1"/>
        </w:rPr>
        <w:t>6</w:t>
      </w:r>
      <w:r>
        <w:rPr>
          <w:color w:val="000000" w:themeColor="text1"/>
        </w:rPr>
        <w:t>m</w:t>
      </w:r>
      <w:r w:rsidRPr="005B62E5">
        <w:rPr>
          <w:color w:val="000000" w:themeColor="text1"/>
        </w:rPr>
        <w:t xml:space="preserve"> relating to surveyor and management fees</w:t>
      </w:r>
      <w:r w:rsidR="004152B0">
        <w:rPr>
          <w:color w:val="000000" w:themeColor="text1"/>
        </w:rPr>
        <w:t xml:space="preserve">. </w:t>
      </w:r>
      <w:r w:rsidR="000D05BA">
        <w:rPr>
          <w:color w:val="000000" w:themeColor="text1"/>
        </w:rPr>
        <w:t xml:space="preserve">This is a timing </w:t>
      </w:r>
      <w:r w:rsidR="00603000">
        <w:rPr>
          <w:color w:val="000000" w:themeColor="text1"/>
        </w:rPr>
        <w:t xml:space="preserve">variance to budget and is predicted to be spent </w:t>
      </w:r>
      <w:r w:rsidR="006A0AC6">
        <w:rPr>
          <w:color w:val="000000" w:themeColor="text1"/>
        </w:rPr>
        <w:t>by year end</w:t>
      </w:r>
      <w:r w:rsidR="00DF4A49">
        <w:rPr>
          <w:color w:val="000000" w:themeColor="text1"/>
        </w:rPr>
        <w:t>.</w:t>
      </w:r>
    </w:p>
    <w:p w14:paraId="5AD8AA61" w14:textId="658FE44B" w:rsidR="005B62E5" w:rsidRPr="005B62E5" w:rsidRDefault="005B62E5" w:rsidP="003E0DDB">
      <w:pPr>
        <w:pStyle w:val="Bulletpoints"/>
        <w:numPr>
          <w:ilvl w:val="0"/>
          <w:numId w:val="0"/>
        </w:numPr>
        <w:ind w:left="810"/>
      </w:pPr>
      <w:r w:rsidRPr="003E0DDB">
        <w:rPr>
          <w:b/>
          <w:bCs/>
          <w:u w:val="single"/>
        </w:rPr>
        <w:t>Financial Services</w:t>
      </w:r>
      <w:r w:rsidRPr="005B62E5">
        <w:t xml:space="preserve"> – there is a</w:t>
      </w:r>
      <w:r w:rsidR="00EE1E95">
        <w:t xml:space="preserve"> projected outturn variance of £0.</w:t>
      </w:r>
      <w:r w:rsidR="00484C3B">
        <w:t>267</w:t>
      </w:r>
      <w:r w:rsidR="00EE1E95">
        <w:t xml:space="preserve">m </w:t>
      </w:r>
      <w:r w:rsidR="00BB0DCE">
        <w:t>for 2025/26</w:t>
      </w:r>
      <w:r w:rsidR="00153E64">
        <w:t xml:space="preserve"> with 1Q pressures </w:t>
      </w:r>
      <w:r w:rsidRPr="005B62E5">
        <w:t>mainly attributed to:</w:t>
      </w:r>
    </w:p>
    <w:p w14:paraId="2504D6B5" w14:textId="4CC52FD5" w:rsidR="005B62E5" w:rsidRPr="00483EC1" w:rsidRDefault="005B62E5" w:rsidP="00483EC1">
      <w:pPr>
        <w:pStyle w:val="ListParagraph"/>
        <w:numPr>
          <w:ilvl w:val="1"/>
          <w:numId w:val="36"/>
        </w:numPr>
        <w:ind w:left="1134" w:hanging="283"/>
        <w:rPr>
          <w:color w:val="000000" w:themeColor="text1"/>
        </w:rPr>
      </w:pPr>
      <w:r w:rsidRPr="0020267A">
        <w:rPr>
          <w:color w:val="000000" w:themeColor="text1"/>
        </w:rPr>
        <w:t>Income pressure of £</w:t>
      </w:r>
      <w:r w:rsidR="0020267A">
        <w:rPr>
          <w:color w:val="000000" w:themeColor="text1"/>
        </w:rPr>
        <w:t>0.</w:t>
      </w:r>
      <w:r w:rsidRPr="0020267A">
        <w:rPr>
          <w:color w:val="000000" w:themeColor="text1"/>
        </w:rPr>
        <w:t>248</w:t>
      </w:r>
      <w:r w:rsidR="0020267A">
        <w:rPr>
          <w:color w:val="000000" w:themeColor="text1"/>
        </w:rPr>
        <w:t>m</w:t>
      </w:r>
      <w:r w:rsidRPr="0020267A">
        <w:rPr>
          <w:color w:val="000000" w:themeColor="text1"/>
        </w:rPr>
        <w:t xml:space="preserve"> across the service area for fees &amp; grant receipts </w:t>
      </w:r>
      <w:r w:rsidR="007039C5">
        <w:rPr>
          <w:color w:val="000000" w:themeColor="text1"/>
        </w:rPr>
        <w:t>such as lower income from Magistrates Courts and Investigations income. This is projected to be recouped by year end 2025/26.</w:t>
      </w:r>
      <w:r w:rsidRPr="0020267A">
        <w:rPr>
          <w:color w:val="000000" w:themeColor="text1"/>
        </w:rPr>
        <w:t xml:space="preserve"> </w:t>
      </w:r>
    </w:p>
    <w:p w14:paraId="13A4A075" w14:textId="3048963C" w:rsidR="00227321" w:rsidRDefault="61917766" w:rsidP="003E0DDB">
      <w:pPr>
        <w:pStyle w:val="ListParagraph"/>
        <w:numPr>
          <w:ilvl w:val="1"/>
          <w:numId w:val="36"/>
        </w:numPr>
        <w:ind w:left="1134" w:hanging="283"/>
        <w:rPr>
          <w:color w:val="000000" w:themeColor="text1"/>
        </w:rPr>
      </w:pPr>
      <w:r w:rsidRPr="5035B331">
        <w:rPr>
          <w:color w:val="000000" w:themeColor="text1"/>
        </w:rPr>
        <w:t xml:space="preserve">Decentralisation of the </w:t>
      </w:r>
      <w:r w:rsidRPr="62823A55">
        <w:rPr>
          <w:color w:val="000000" w:themeColor="text1"/>
        </w:rPr>
        <w:t xml:space="preserve">printing and postage budget </w:t>
      </w:r>
      <w:r w:rsidRPr="75F7CDFC">
        <w:rPr>
          <w:color w:val="000000" w:themeColor="text1"/>
        </w:rPr>
        <w:t xml:space="preserve">from </w:t>
      </w:r>
      <w:proofErr w:type="gramStart"/>
      <w:r w:rsidRPr="3578BC2E">
        <w:rPr>
          <w:color w:val="000000" w:themeColor="text1"/>
        </w:rPr>
        <w:t>Corporate</w:t>
      </w:r>
      <w:proofErr w:type="gramEnd"/>
      <w:r w:rsidRPr="3578BC2E">
        <w:rPr>
          <w:color w:val="000000" w:themeColor="text1"/>
        </w:rPr>
        <w:t xml:space="preserve"> </w:t>
      </w:r>
      <w:r w:rsidRPr="66BD0532">
        <w:rPr>
          <w:color w:val="000000" w:themeColor="text1"/>
        </w:rPr>
        <w:t>print</w:t>
      </w:r>
      <w:r w:rsidRPr="3578BC2E">
        <w:rPr>
          <w:color w:val="000000" w:themeColor="text1"/>
        </w:rPr>
        <w:t xml:space="preserve"> room is </w:t>
      </w:r>
      <w:r w:rsidR="63B7CE35" w:rsidRPr="57C2CA0F">
        <w:rPr>
          <w:color w:val="000000" w:themeColor="text1"/>
        </w:rPr>
        <w:t>insufficient</w:t>
      </w:r>
      <w:r w:rsidRPr="57C2CA0F">
        <w:rPr>
          <w:color w:val="000000" w:themeColor="text1"/>
        </w:rPr>
        <w:t xml:space="preserve"> to </w:t>
      </w:r>
      <w:r w:rsidR="76DBCD6B" w:rsidRPr="57C2CA0F">
        <w:rPr>
          <w:color w:val="000000" w:themeColor="text1"/>
        </w:rPr>
        <w:t xml:space="preserve">cover printing and postage costs with Revenues Service. </w:t>
      </w:r>
      <w:r w:rsidR="79392437" w:rsidRPr="77C3096F">
        <w:rPr>
          <w:color w:val="000000" w:themeColor="text1"/>
        </w:rPr>
        <w:t xml:space="preserve">Cost pressure </w:t>
      </w:r>
      <w:r w:rsidR="79392437" w:rsidRPr="6D2D8796">
        <w:rPr>
          <w:color w:val="000000" w:themeColor="text1"/>
        </w:rPr>
        <w:t>of £</w:t>
      </w:r>
      <w:r w:rsidR="79392437" w:rsidRPr="7BEA0B4B">
        <w:rPr>
          <w:color w:val="000000" w:themeColor="text1"/>
        </w:rPr>
        <w:t xml:space="preserve">114 k is </w:t>
      </w:r>
      <w:r w:rsidR="79392437" w:rsidRPr="338AF6CC">
        <w:rPr>
          <w:color w:val="000000" w:themeColor="text1"/>
        </w:rPr>
        <w:t xml:space="preserve">expected. </w:t>
      </w:r>
      <w:r w:rsidR="76DBCD6B" w:rsidRPr="338AF6CC">
        <w:rPr>
          <w:color w:val="000000" w:themeColor="text1"/>
        </w:rPr>
        <w:t>Reductions</w:t>
      </w:r>
      <w:r w:rsidR="76DBCD6B" w:rsidRPr="1DA7145C">
        <w:rPr>
          <w:color w:val="000000" w:themeColor="text1"/>
        </w:rPr>
        <w:t xml:space="preserve"> </w:t>
      </w:r>
      <w:r w:rsidR="76DBCD6B" w:rsidRPr="2FF8DA9D">
        <w:rPr>
          <w:color w:val="000000" w:themeColor="text1"/>
        </w:rPr>
        <w:t xml:space="preserve">have been </w:t>
      </w:r>
      <w:r w:rsidR="76DBCD6B" w:rsidRPr="4713DD8A">
        <w:rPr>
          <w:color w:val="000000" w:themeColor="text1"/>
        </w:rPr>
        <w:t xml:space="preserve">made in </w:t>
      </w:r>
      <w:r w:rsidR="76DBCD6B" w:rsidRPr="6E2C3019">
        <w:rPr>
          <w:color w:val="000000" w:themeColor="text1"/>
        </w:rPr>
        <w:t>printing</w:t>
      </w:r>
      <w:r w:rsidR="76DBCD6B" w:rsidRPr="24164293">
        <w:rPr>
          <w:color w:val="000000" w:themeColor="text1"/>
        </w:rPr>
        <w:t xml:space="preserve"> costs </w:t>
      </w:r>
      <w:r w:rsidR="76DBCD6B" w:rsidRPr="7B3209FA">
        <w:rPr>
          <w:color w:val="000000" w:themeColor="text1"/>
        </w:rPr>
        <w:t xml:space="preserve">associated </w:t>
      </w:r>
      <w:r w:rsidR="76DBCD6B" w:rsidRPr="1A948A14">
        <w:rPr>
          <w:color w:val="000000" w:themeColor="text1"/>
        </w:rPr>
        <w:t xml:space="preserve">with </w:t>
      </w:r>
      <w:r w:rsidR="76DBCD6B" w:rsidRPr="72403507">
        <w:rPr>
          <w:color w:val="000000" w:themeColor="text1"/>
        </w:rPr>
        <w:t xml:space="preserve">annual </w:t>
      </w:r>
      <w:r w:rsidR="76DBCD6B" w:rsidRPr="619865E5">
        <w:rPr>
          <w:color w:val="000000" w:themeColor="text1"/>
        </w:rPr>
        <w:t xml:space="preserve">billing of </w:t>
      </w:r>
      <w:r w:rsidR="02C312E1" w:rsidRPr="7A88D3FD">
        <w:rPr>
          <w:color w:val="000000" w:themeColor="text1"/>
        </w:rPr>
        <w:t xml:space="preserve">business rates and </w:t>
      </w:r>
      <w:r w:rsidR="02C312E1" w:rsidRPr="22B1A1BE">
        <w:rPr>
          <w:color w:val="000000" w:themeColor="text1"/>
        </w:rPr>
        <w:t xml:space="preserve">council </w:t>
      </w:r>
      <w:r w:rsidR="18E0AD40" w:rsidRPr="4AEB5712">
        <w:rPr>
          <w:color w:val="000000" w:themeColor="text1"/>
        </w:rPr>
        <w:t xml:space="preserve">tax </w:t>
      </w:r>
      <w:r w:rsidR="18E0AD40" w:rsidRPr="1F1E12A1">
        <w:rPr>
          <w:color w:val="000000" w:themeColor="text1"/>
        </w:rPr>
        <w:t xml:space="preserve">although </w:t>
      </w:r>
      <w:r w:rsidR="18E0AD40" w:rsidRPr="5A643258">
        <w:rPr>
          <w:color w:val="000000" w:themeColor="text1"/>
        </w:rPr>
        <w:t xml:space="preserve">these savings will </w:t>
      </w:r>
      <w:r w:rsidR="18E0AD40" w:rsidRPr="02FCF095">
        <w:rPr>
          <w:color w:val="000000" w:themeColor="text1"/>
        </w:rPr>
        <w:t xml:space="preserve">materialise from </w:t>
      </w:r>
      <w:r w:rsidR="18E0AD40" w:rsidRPr="136CCC30">
        <w:rPr>
          <w:color w:val="000000" w:themeColor="text1"/>
        </w:rPr>
        <w:t>2026-27</w:t>
      </w:r>
      <w:r w:rsidR="02C312E1" w:rsidRPr="136CCC30">
        <w:rPr>
          <w:color w:val="000000" w:themeColor="text1"/>
        </w:rPr>
        <w:t xml:space="preserve"> </w:t>
      </w:r>
      <w:r w:rsidR="63A51452" w:rsidRPr="71D61CA8">
        <w:rPr>
          <w:color w:val="000000" w:themeColor="text1"/>
        </w:rPr>
        <w:t xml:space="preserve">onwards. </w:t>
      </w:r>
    </w:p>
    <w:p w14:paraId="50270213" w14:textId="77777777" w:rsidR="00415FA3" w:rsidRPr="001A76FE" w:rsidRDefault="00415FA3" w:rsidP="001A76FE">
      <w:pPr>
        <w:ind w:left="851"/>
        <w:rPr>
          <w:color w:val="000000" w:themeColor="text1"/>
        </w:rPr>
      </w:pPr>
    </w:p>
    <w:p w14:paraId="5293DB76" w14:textId="2C3A0467" w:rsidR="0020267A" w:rsidRPr="0020267A" w:rsidRDefault="00A12651" w:rsidP="003E0DDB">
      <w:pPr>
        <w:pStyle w:val="ListParagraph"/>
        <w:numPr>
          <w:ilvl w:val="1"/>
          <w:numId w:val="36"/>
        </w:numPr>
        <w:ind w:left="1134" w:hanging="283"/>
        <w:rPr>
          <w:color w:val="000000" w:themeColor="text1"/>
        </w:rPr>
      </w:pPr>
      <w:r>
        <w:rPr>
          <w:color w:val="000000" w:themeColor="text1"/>
        </w:rPr>
        <w:lastRenderedPageBreak/>
        <w:t>E</w:t>
      </w:r>
      <w:r w:rsidR="0020267A" w:rsidRPr="0020267A">
        <w:rPr>
          <w:color w:val="000000" w:themeColor="text1"/>
        </w:rPr>
        <w:t>stablishment cost pressures of £</w:t>
      </w:r>
      <w:r w:rsidR="0020267A">
        <w:rPr>
          <w:color w:val="000000" w:themeColor="text1"/>
        </w:rPr>
        <w:t>0.0</w:t>
      </w:r>
      <w:r w:rsidR="0020267A" w:rsidRPr="0020267A">
        <w:rPr>
          <w:color w:val="000000" w:themeColor="text1"/>
        </w:rPr>
        <w:t>94</w:t>
      </w:r>
      <w:r w:rsidR="0020267A">
        <w:rPr>
          <w:color w:val="000000" w:themeColor="text1"/>
        </w:rPr>
        <w:t>m</w:t>
      </w:r>
      <w:r w:rsidR="0020267A" w:rsidRPr="0020267A">
        <w:rPr>
          <w:color w:val="000000" w:themeColor="text1"/>
        </w:rPr>
        <w:t xml:space="preserve"> across the service area from the requirement for unbudgeted agency staffing to cover </w:t>
      </w:r>
      <w:r w:rsidR="53395FA9" w:rsidRPr="04F46330">
        <w:rPr>
          <w:color w:val="000000" w:themeColor="text1"/>
        </w:rPr>
        <w:t xml:space="preserve">one </w:t>
      </w:r>
      <w:r w:rsidR="53395FA9" w:rsidRPr="1D5F7E98">
        <w:rPr>
          <w:color w:val="000000" w:themeColor="text1"/>
        </w:rPr>
        <w:t xml:space="preserve">off </w:t>
      </w:r>
      <w:r w:rsidR="0020267A" w:rsidRPr="1D5F7E98">
        <w:rPr>
          <w:color w:val="000000" w:themeColor="text1"/>
        </w:rPr>
        <w:t>long</w:t>
      </w:r>
      <w:r w:rsidR="0020267A" w:rsidRPr="0020267A">
        <w:rPr>
          <w:color w:val="000000" w:themeColor="text1"/>
        </w:rPr>
        <w:t xml:space="preserve">-term staff sickness </w:t>
      </w:r>
      <w:r>
        <w:rPr>
          <w:color w:val="000000" w:themeColor="text1"/>
        </w:rPr>
        <w:t>and</w:t>
      </w:r>
      <w:r w:rsidR="0020267A" w:rsidRPr="0020267A">
        <w:rPr>
          <w:color w:val="000000" w:themeColor="text1"/>
        </w:rPr>
        <w:t xml:space="preserve"> short-term support to assist with 2024/25 financial year-end closedown tasks </w:t>
      </w:r>
    </w:p>
    <w:p w14:paraId="32554BD1" w14:textId="4CB1CA97" w:rsidR="005B62E5" w:rsidRPr="0020267A" w:rsidRDefault="005B62E5" w:rsidP="003E0DDB">
      <w:pPr>
        <w:pStyle w:val="ListParagraph"/>
        <w:numPr>
          <w:ilvl w:val="1"/>
          <w:numId w:val="36"/>
        </w:numPr>
        <w:ind w:left="1134" w:hanging="283"/>
        <w:rPr>
          <w:color w:val="000000" w:themeColor="text1"/>
        </w:rPr>
      </w:pPr>
      <w:r w:rsidRPr="0020267A">
        <w:rPr>
          <w:color w:val="000000" w:themeColor="text1"/>
        </w:rPr>
        <w:t>£</w:t>
      </w:r>
      <w:r w:rsidR="0020267A">
        <w:rPr>
          <w:color w:val="000000" w:themeColor="text1"/>
        </w:rPr>
        <w:t>0.0</w:t>
      </w:r>
      <w:r w:rsidRPr="0020267A">
        <w:rPr>
          <w:color w:val="000000" w:themeColor="text1"/>
        </w:rPr>
        <w:t>59</w:t>
      </w:r>
      <w:r w:rsidR="0020267A">
        <w:rPr>
          <w:color w:val="000000" w:themeColor="text1"/>
        </w:rPr>
        <w:t xml:space="preserve">m </w:t>
      </w:r>
      <w:r w:rsidRPr="0020267A">
        <w:rPr>
          <w:color w:val="000000" w:themeColor="text1"/>
        </w:rPr>
        <w:t>cost pressure from expenditure on asset valuation services</w:t>
      </w:r>
      <w:r w:rsidR="46165EE7" w:rsidRPr="20CC643F">
        <w:rPr>
          <w:color w:val="000000" w:themeColor="text1"/>
        </w:rPr>
        <w:t xml:space="preserve"> </w:t>
      </w:r>
      <w:r w:rsidR="46165EE7" w:rsidRPr="16E549ED">
        <w:rPr>
          <w:color w:val="000000" w:themeColor="text1"/>
        </w:rPr>
        <w:t xml:space="preserve">in </w:t>
      </w:r>
      <w:r w:rsidR="46165EE7" w:rsidRPr="46D8C2E2">
        <w:rPr>
          <w:color w:val="000000" w:themeColor="text1"/>
        </w:rPr>
        <w:t xml:space="preserve">respect of </w:t>
      </w:r>
      <w:r w:rsidR="46165EE7" w:rsidRPr="15111A01">
        <w:rPr>
          <w:color w:val="000000" w:themeColor="text1"/>
        </w:rPr>
        <w:t xml:space="preserve">preparation of </w:t>
      </w:r>
      <w:r w:rsidR="46165EE7" w:rsidRPr="5F101932">
        <w:rPr>
          <w:color w:val="000000" w:themeColor="text1"/>
        </w:rPr>
        <w:t xml:space="preserve">the </w:t>
      </w:r>
      <w:r w:rsidR="46165EE7" w:rsidRPr="0A18A59E">
        <w:rPr>
          <w:color w:val="000000" w:themeColor="text1"/>
        </w:rPr>
        <w:t>statement of accounts</w:t>
      </w:r>
      <w:r w:rsidR="46165EE7" w:rsidRPr="23F11CEB">
        <w:rPr>
          <w:color w:val="000000" w:themeColor="text1"/>
        </w:rPr>
        <w:t xml:space="preserve">. </w:t>
      </w:r>
      <w:r w:rsidR="46165EE7" w:rsidRPr="1ED00DBE">
        <w:rPr>
          <w:color w:val="000000" w:themeColor="text1"/>
        </w:rPr>
        <w:t xml:space="preserve">The service is </w:t>
      </w:r>
      <w:r w:rsidR="46165EE7" w:rsidRPr="0A0AB696">
        <w:rPr>
          <w:color w:val="000000" w:themeColor="text1"/>
        </w:rPr>
        <w:t xml:space="preserve">currently </w:t>
      </w:r>
      <w:r w:rsidR="46165EE7" w:rsidRPr="297275A1">
        <w:rPr>
          <w:color w:val="000000" w:themeColor="text1"/>
        </w:rPr>
        <w:t xml:space="preserve">being </w:t>
      </w:r>
      <w:r w:rsidR="46165EE7" w:rsidRPr="7B4C3F94">
        <w:rPr>
          <w:color w:val="000000" w:themeColor="text1"/>
        </w:rPr>
        <w:t>subjected to tender.</w:t>
      </w:r>
      <w:r w:rsidR="46165EE7" w:rsidRPr="22A8FEF2">
        <w:rPr>
          <w:color w:val="000000" w:themeColor="text1"/>
        </w:rPr>
        <w:t xml:space="preserve"> </w:t>
      </w:r>
    </w:p>
    <w:p w14:paraId="1CC9B688" w14:textId="2E06F364" w:rsidR="005B62E5" w:rsidRPr="005B62E5" w:rsidRDefault="005B62E5" w:rsidP="003E0DDB">
      <w:pPr>
        <w:pStyle w:val="Bulletpoints"/>
        <w:numPr>
          <w:ilvl w:val="0"/>
          <w:numId w:val="0"/>
        </w:numPr>
        <w:ind w:left="810"/>
      </w:pPr>
      <w:r w:rsidRPr="003E0DDB">
        <w:rPr>
          <w:b/>
          <w:bCs/>
          <w:u w:val="single"/>
        </w:rPr>
        <w:t>Law, Governance &amp; Strategy</w:t>
      </w:r>
      <w:r w:rsidRPr="005B62E5">
        <w:t xml:space="preserve"> – there is </w:t>
      </w:r>
      <w:r w:rsidR="0020267A">
        <w:t>a</w:t>
      </w:r>
      <w:r w:rsidR="006A4DDC">
        <w:t xml:space="preserve"> pressure</w:t>
      </w:r>
      <w:r w:rsidRPr="005B62E5">
        <w:t xml:space="preserve"> of £</w:t>
      </w:r>
      <w:r w:rsidR="0020267A">
        <w:t>0.</w:t>
      </w:r>
      <w:r w:rsidRPr="005B62E5">
        <w:t>418</w:t>
      </w:r>
      <w:r w:rsidR="0020267A">
        <w:t>m</w:t>
      </w:r>
      <w:r w:rsidRPr="005B62E5">
        <w:t xml:space="preserve"> in 1Q </w:t>
      </w:r>
      <w:r w:rsidR="002E4ABE">
        <w:t xml:space="preserve">which is projected to </w:t>
      </w:r>
      <w:r w:rsidR="00547EAB">
        <w:t xml:space="preserve">result in </w:t>
      </w:r>
      <w:r w:rsidR="00585E66">
        <w:t xml:space="preserve">an adverse </w:t>
      </w:r>
      <w:r w:rsidR="000C5533">
        <w:t xml:space="preserve">outturn </w:t>
      </w:r>
      <w:r w:rsidR="003C62B5">
        <w:t xml:space="preserve">variance </w:t>
      </w:r>
      <w:r w:rsidR="00547EAB">
        <w:t xml:space="preserve">of </w:t>
      </w:r>
      <w:r w:rsidR="00F817DD">
        <w:t xml:space="preserve">£0.239m for 2025/26 </w:t>
      </w:r>
      <w:r w:rsidRPr="005B62E5">
        <w:t>due to</w:t>
      </w:r>
      <w:r w:rsidR="003E0DDB">
        <w:t>:</w:t>
      </w:r>
    </w:p>
    <w:p w14:paraId="016C3330" w14:textId="1B1724BE" w:rsidR="005B62E5" w:rsidRPr="0020267A" w:rsidRDefault="005B62E5" w:rsidP="003E0DDB">
      <w:pPr>
        <w:pStyle w:val="ListParagraph"/>
        <w:numPr>
          <w:ilvl w:val="1"/>
          <w:numId w:val="36"/>
        </w:numPr>
        <w:ind w:left="1134" w:hanging="283"/>
        <w:rPr>
          <w:color w:val="000000" w:themeColor="text1"/>
        </w:rPr>
      </w:pPr>
      <w:r w:rsidRPr="0020267A">
        <w:rPr>
          <w:color w:val="000000" w:themeColor="text1"/>
        </w:rPr>
        <w:t>£</w:t>
      </w:r>
      <w:r w:rsidR="0020267A">
        <w:rPr>
          <w:color w:val="000000" w:themeColor="text1"/>
        </w:rPr>
        <w:t>0.</w:t>
      </w:r>
      <w:r w:rsidRPr="0020267A">
        <w:rPr>
          <w:color w:val="000000" w:themeColor="text1"/>
        </w:rPr>
        <w:t>169</w:t>
      </w:r>
      <w:r w:rsidR="0020267A">
        <w:rPr>
          <w:color w:val="000000" w:themeColor="text1"/>
        </w:rPr>
        <w:t>m</w:t>
      </w:r>
      <w:r w:rsidRPr="0020267A">
        <w:rPr>
          <w:color w:val="000000" w:themeColor="text1"/>
        </w:rPr>
        <w:t xml:space="preserve"> third party services associated with addressing the cyber incident in June 2025</w:t>
      </w:r>
    </w:p>
    <w:p w14:paraId="2EF45942" w14:textId="5122054A" w:rsidR="005B62E5" w:rsidRPr="0020267A" w:rsidRDefault="005B62E5" w:rsidP="003E0DDB">
      <w:pPr>
        <w:pStyle w:val="ListParagraph"/>
        <w:numPr>
          <w:ilvl w:val="1"/>
          <w:numId w:val="36"/>
        </w:numPr>
        <w:ind w:left="1134" w:hanging="283"/>
        <w:rPr>
          <w:color w:val="000000" w:themeColor="text1"/>
        </w:rPr>
      </w:pPr>
      <w:r w:rsidRPr="0020267A">
        <w:rPr>
          <w:color w:val="000000" w:themeColor="text1"/>
        </w:rPr>
        <w:t>£</w:t>
      </w:r>
      <w:r w:rsidR="0020267A">
        <w:rPr>
          <w:color w:val="000000" w:themeColor="text1"/>
        </w:rPr>
        <w:t>0.</w:t>
      </w:r>
      <w:r w:rsidRPr="0020267A">
        <w:rPr>
          <w:color w:val="000000" w:themeColor="text1"/>
        </w:rPr>
        <w:t>179</w:t>
      </w:r>
      <w:r w:rsidR="0020267A">
        <w:rPr>
          <w:color w:val="000000" w:themeColor="text1"/>
        </w:rPr>
        <w:t>m</w:t>
      </w:r>
      <w:r w:rsidRPr="0020267A">
        <w:rPr>
          <w:color w:val="000000" w:themeColor="text1"/>
        </w:rPr>
        <w:t xml:space="preserve"> </w:t>
      </w:r>
      <w:r w:rsidR="00721D02">
        <w:rPr>
          <w:color w:val="000000" w:themeColor="text1"/>
        </w:rPr>
        <w:t>pressure</w:t>
      </w:r>
      <w:r w:rsidRPr="0020267A">
        <w:rPr>
          <w:color w:val="000000" w:themeColor="text1"/>
        </w:rPr>
        <w:t xml:space="preserve"> </w:t>
      </w:r>
      <w:proofErr w:type="gramStart"/>
      <w:r w:rsidRPr="0020267A">
        <w:rPr>
          <w:color w:val="000000" w:themeColor="text1"/>
        </w:rPr>
        <w:t>as a result of</w:t>
      </w:r>
      <w:proofErr w:type="gramEnd"/>
      <w:r w:rsidRPr="0020267A">
        <w:rPr>
          <w:color w:val="000000" w:themeColor="text1"/>
        </w:rPr>
        <w:t xml:space="preserve"> election staff</w:t>
      </w:r>
      <w:r w:rsidR="00E2655D">
        <w:rPr>
          <w:color w:val="000000" w:themeColor="text1"/>
        </w:rPr>
        <w:t xml:space="preserve">, hire of premise </w:t>
      </w:r>
      <w:r w:rsidRPr="0020267A">
        <w:rPr>
          <w:color w:val="000000" w:themeColor="text1"/>
        </w:rPr>
        <w:t>and printing costs for the May 2025 local elections</w:t>
      </w:r>
      <w:r w:rsidR="00721D02">
        <w:rPr>
          <w:color w:val="000000" w:themeColor="text1"/>
        </w:rPr>
        <w:t xml:space="preserve">. This is expected to be </w:t>
      </w:r>
      <w:r w:rsidR="003C71B1">
        <w:rPr>
          <w:color w:val="000000" w:themeColor="text1"/>
        </w:rPr>
        <w:t>reclaimed fr</w:t>
      </w:r>
      <w:r w:rsidR="004A40EA">
        <w:rPr>
          <w:color w:val="000000" w:themeColor="text1"/>
        </w:rPr>
        <w:t>om</w:t>
      </w:r>
      <w:r w:rsidR="003C71B1">
        <w:rPr>
          <w:color w:val="000000" w:themeColor="text1"/>
        </w:rPr>
        <w:t xml:space="preserve"> the County Council</w:t>
      </w:r>
      <w:r w:rsidR="00483EC1">
        <w:rPr>
          <w:color w:val="000000" w:themeColor="text1"/>
        </w:rPr>
        <w:t xml:space="preserve"> </w:t>
      </w:r>
      <w:r w:rsidR="00606E5E">
        <w:rPr>
          <w:color w:val="000000" w:themeColor="text1"/>
        </w:rPr>
        <w:t>therefore</w:t>
      </w:r>
      <w:r w:rsidR="00813A7D">
        <w:rPr>
          <w:color w:val="000000" w:themeColor="text1"/>
        </w:rPr>
        <w:t xml:space="preserve"> </w:t>
      </w:r>
      <w:r w:rsidR="000D080B">
        <w:rPr>
          <w:color w:val="000000" w:themeColor="text1"/>
        </w:rPr>
        <w:t xml:space="preserve">the </w:t>
      </w:r>
      <w:r w:rsidR="00813A7D">
        <w:rPr>
          <w:color w:val="000000" w:themeColor="text1"/>
        </w:rPr>
        <w:t>forecast outturn</w:t>
      </w:r>
      <w:r w:rsidR="007C56A7">
        <w:rPr>
          <w:color w:val="000000" w:themeColor="text1"/>
        </w:rPr>
        <w:t xml:space="preserve"> variance </w:t>
      </w:r>
      <w:r w:rsidR="002B44D3">
        <w:rPr>
          <w:color w:val="000000" w:themeColor="text1"/>
        </w:rPr>
        <w:t>for 2025/26</w:t>
      </w:r>
      <w:r w:rsidR="00813A7D">
        <w:rPr>
          <w:color w:val="000000" w:themeColor="text1"/>
        </w:rPr>
        <w:t>will be zero</w:t>
      </w:r>
      <w:r w:rsidR="00721D02">
        <w:rPr>
          <w:color w:val="000000" w:themeColor="text1"/>
        </w:rPr>
        <w:t>.</w:t>
      </w:r>
    </w:p>
    <w:p w14:paraId="6F1101E1" w14:textId="2080B5D3" w:rsidR="005B62E5" w:rsidRPr="0020267A" w:rsidRDefault="005B62E5" w:rsidP="003E0DDB">
      <w:pPr>
        <w:pStyle w:val="ListParagraph"/>
        <w:numPr>
          <w:ilvl w:val="1"/>
          <w:numId w:val="36"/>
        </w:numPr>
        <w:ind w:left="1134" w:hanging="283"/>
        <w:rPr>
          <w:color w:val="000000" w:themeColor="text1"/>
        </w:rPr>
      </w:pPr>
      <w:r w:rsidRPr="0020267A">
        <w:rPr>
          <w:color w:val="000000" w:themeColor="text1"/>
        </w:rPr>
        <w:t>Use of locum lawyers and manager to provide resource capacity</w:t>
      </w:r>
      <w:r w:rsidR="00813A7D">
        <w:rPr>
          <w:color w:val="000000" w:themeColor="text1"/>
        </w:rPr>
        <w:t xml:space="preserve"> estimated at £70k</w:t>
      </w:r>
      <w:r w:rsidR="007F0615">
        <w:rPr>
          <w:color w:val="000000" w:themeColor="text1"/>
        </w:rPr>
        <w:t xml:space="preserve"> </w:t>
      </w:r>
    </w:p>
    <w:p w14:paraId="3E33554E" w14:textId="03991AFD" w:rsidR="008E31C9" w:rsidRDefault="005B62E5" w:rsidP="00C34806">
      <w:pPr>
        <w:pStyle w:val="Bulletpoints"/>
        <w:numPr>
          <w:ilvl w:val="0"/>
          <w:numId w:val="0"/>
        </w:numPr>
        <w:tabs>
          <w:tab w:val="clear" w:pos="993"/>
        </w:tabs>
        <w:ind w:left="851" w:hanging="41"/>
      </w:pPr>
      <w:r w:rsidRPr="003E0DDB">
        <w:rPr>
          <w:b/>
          <w:bCs/>
          <w:u w:val="single"/>
        </w:rPr>
        <w:t>Corporate Accounts</w:t>
      </w:r>
      <w:r w:rsidRPr="005B62E5">
        <w:t xml:space="preserve"> – </w:t>
      </w:r>
      <w:r w:rsidR="00813A7D">
        <w:t xml:space="preserve">this </w:t>
      </w:r>
      <w:r w:rsidR="008A1641">
        <w:t>includes</w:t>
      </w:r>
      <w:r w:rsidR="00C71E47" w:rsidRPr="00C71E47">
        <w:t xml:space="preserve"> </w:t>
      </w:r>
      <w:r w:rsidR="00C71E47">
        <w:t xml:space="preserve">the net cost of housing benefits, interest receivable </w:t>
      </w:r>
      <w:r w:rsidR="005A4929">
        <w:t xml:space="preserve">from investments </w:t>
      </w:r>
      <w:r w:rsidR="00C71E47">
        <w:t xml:space="preserve">and payable </w:t>
      </w:r>
      <w:r w:rsidR="005A4929">
        <w:t>on loan finance</w:t>
      </w:r>
      <w:r w:rsidR="00C71E47">
        <w:t xml:space="preserve">. </w:t>
      </w:r>
      <w:r w:rsidR="00813A7D">
        <w:t xml:space="preserve">The current net position indicates a </w:t>
      </w:r>
      <w:r w:rsidR="005A4929">
        <w:t xml:space="preserve">net credit </w:t>
      </w:r>
      <w:r w:rsidR="00813A7D">
        <w:t xml:space="preserve">of </w:t>
      </w:r>
      <w:r w:rsidR="006A4DDC">
        <w:t>£4.047m in 1Q</w:t>
      </w:r>
      <w:r w:rsidR="00813A7D">
        <w:t xml:space="preserve"> </w:t>
      </w:r>
      <w:r w:rsidR="008A1641">
        <w:t>largely</w:t>
      </w:r>
      <w:r w:rsidR="005A4929">
        <w:t xml:space="preserve"> </w:t>
      </w:r>
      <w:proofErr w:type="gramStart"/>
      <w:r w:rsidR="005A4929">
        <w:t>due to the fact that</w:t>
      </w:r>
      <w:proofErr w:type="gramEnd"/>
      <w:r w:rsidR="005A4929">
        <w:t xml:space="preserve"> net cost of benefits is shown on a</w:t>
      </w:r>
      <w:r w:rsidR="008A1641">
        <w:t xml:space="preserve"> cash and receipts basis</w:t>
      </w:r>
      <w:r w:rsidR="005A4929">
        <w:t xml:space="preserve"> as opposed to prepayments and accruals</w:t>
      </w:r>
      <w:r w:rsidR="008A1641">
        <w:t>.</w:t>
      </w:r>
      <w:r w:rsidR="00813A7D">
        <w:t xml:space="preserve"> </w:t>
      </w:r>
      <w:r w:rsidR="005A4929">
        <w:t>A</w:t>
      </w:r>
      <w:r w:rsidR="00813A7D">
        <w:t xml:space="preserve">t this stage </w:t>
      </w:r>
      <w:r w:rsidR="006A4DDC">
        <w:t>t</w:t>
      </w:r>
      <w:r w:rsidR="006A4DDC" w:rsidRPr="006A4DDC">
        <w:t xml:space="preserve">he 2025/26 projected outturn </w:t>
      </w:r>
      <w:r w:rsidR="008A1641">
        <w:t xml:space="preserve">for Corporate Accounts </w:t>
      </w:r>
      <w:r w:rsidR="006A4DDC" w:rsidRPr="006A4DDC">
        <w:t xml:space="preserve">remains </w:t>
      </w:r>
      <w:r w:rsidR="005A4929">
        <w:t xml:space="preserve">on target to achieve the net budgeted cost </w:t>
      </w:r>
      <w:r w:rsidR="006A4DDC">
        <w:t>of £2.131m</w:t>
      </w:r>
      <w:r w:rsidR="009025E2">
        <w:t>,</w:t>
      </w:r>
      <w:r w:rsidR="006A4DDC">
        <w:t xml:space="preserve"> </w:t>
      </w:r>
      <w:r w:rsidR="005A4929">
        <w:t>the majority of which, (£1.5 million), relates to the net cost of housing benefits</w:t>
      </w:r>
      <w:r w:rsidR="009025E2">
        <w:t>,</w:t>
      </w:r>
      <w:r w:rsidR="005A4929">
        <w:t xml:space="preserve"> largely arising from the inability to claim subsidy on supported</w:t>
      </w:r>
      <w:r w:rsidR="009025E2">
        <w:t xml:space="preserve"> housing</w:t>
      </w:r>
      <w:r w:rsidR="005A4929">
        <w:t xml:space="preserve"> accommodation benefit expenditure. </w:t>
      </w:r>
    </w:p>
    <w:p w14:paraId="1A3C1415" w14:textId="4BFACC2C" w:rsidR="00791AB8" w:rsidRPr="005A4929" w:rsidRDefault="00791AB8" w:rsidP="005A4929">
      <w:pPr>
        <w:ind w:left="851"/>
      </w:pPr>
      <w:r w:rsidRPr="005A4929">
        <w:t xml:space="preserve">Whilst </w:t>
      </w:r>
      <w:r w:rsidR="009025E2">
        <w:t xml:space="preserve">a </w:t>
      </w:r>
      <w:r w:rsidRPr="005A4929">
        <w:t xml:space="preserve">forecast favourable </w:t>
      </w:r>
      <w:proofErr w:type="spellStart"/>
      <w:r w:rsidR="005A4929">
        <w:t>outurn</w:t>
      </w:r>
      <w:proofErr w:type="spellEnd"/>
      <w:r w:rsidR="005A4929">
        <w:t xml:space="preserve"> </w:t>
      </w:r>
      <w:r w:rsidRPr="005A4929">
        <w:t xml:space="preserve">variance </w:t>
      </w:r>
      <w:r>
        <w:t xml:space="preserve">of £1m </w:t>
      </w:r>
      <w:r w:rsidR="005A4929">
        <w:t xml:space="preserve">is expected </w:t>
      </w:r>
      <w:r w:rsidRPr="005A4929">
        <w:t>on net interest</w:t>
      </w:r>
      <w:r w:rsidR="009025E2">
        <w:t>,</w:t>
      </w:r>
      <w:r w:rsidRPr="005A4929">
        <w:t xml:space="preserve"> </w:t>
      </w:r>
      <w:r w:rsidR="005A4929">
        <w:t xml:space="preserve">since </w:t>
      </w:r>
      <w:r w:rsidRPr="005A4929">
        <w:t xml:space="preserve">borrowing to finance the </w:t>
      </w:r>
      <w:r w:rsidR="005A4929">
        <w:t xml:space="preserve">capital programme is </w:t>
      </w:r>
      <w:r w:rsidR="009025E2">
        <w:t>significantly</w:t>
      </w:r>
      <w:r w:rsidR="005A4929">
        <w:t xml:space="preserve"> less than </w:t>
      </w:r>
      <w:r w:rsidRPr="005A4929">
        <w:t xml:space="preserve">budgeted </w:t>
      </w:r>
      <w:r w:rsidR="005A4929">
        <w:t>due to programme</w:t>
      </w:r>
      <w:r w:rsidRPr="005A4929">
        <w:t xml:space="preserve"> slippages, current indications suggest that this will be offset by </w:t>
      </w:r>
      <w:r w:rsidR="009025E2">
        <w:t xml:space="preserve">increases in the </w:t>
      </w:r>
      <w:r w:rsidRPr="005A4929">
        <w:t xml:space="preserve">net cost of housing benefits payments </w:t>
      </w:r>
      <w:r w:rsidR="009025E2">
        <w:t xml:space="preserve">as </w:t>
      </w:r>
      <w:r w:rsidRPr="005A4929">
        <w:t xml:space="preserve">supported housing </w:t>
      </w:r>
      <w:r w:rsidR="009025E2">
        <w:t xml:space="preserve">benefit expenditure continues to rise. The council are working on mitigations to try and contain overspends and the situation is being monitored. </w:t>
      </w:r>
    </w:p>
    <w:p w14:paraId="2FE3AD7A" w14:textId="77777777" w:rsidR="002116EC" w:rsidRDefault="002116EC" w:rsidP="14BF4969">
      <w:pPr>
        <w:pStyle w:val="Heading1"/>
        <w:rPr>
          <w:rFonts w:eastAsia="Calibri"/>
          <w:color w:val="auto"/>
        </w:rPr>
      </w:pPr>
    </w:p>
    <w:p w14:paraId="6874A344" w14:textId="4FA96064" w:rsidR="008D5B32" w:rsidRPr="00240FF5" w:rsidRDefault="094D16CC" w:rsidP="14BF4969">
      <w:pPr>
        <w:pStyle w:val="Heading1"/>
        <w:rPr>
          <w:color w:val="auto"/>
        </w:rPr>
      </w:pPr>
      <w:r w:rsidRPr="008B61D3">
        <w:rPr>
          <w:rFonts w:eastAsia="Calibri"/>
          <w:color w:val="auto"/>
        </w:rPr>
        <w:t>Housing Revenue Account</w:t>
      </w:r>
      <w:r w:rsidR="0743051B" w:rsidRPr="008B61D3">
        <w:rPr>
          <w:rFonts w:eastAsia="Calibri"/>
          <w:color w:val="auto"/>
        </w:rPr>
        <w:t xml:space="preserve"> (“the HRA”)</w:t>
      </w:r>
    </w:p>
    <w:p w14:paraId="2DB6C8DB" w14:textId="31EA5A2F" w:rsidR="00757B18" w:rsidRPr="00757B18" w:rsidRDefault="0743051B" w:rsidP="00EC2D99">
      <w:pPr>
        <w:pStyle w:val="ListParagraph"/>
        <w:numPr>
          <w:ilvl w:val="0"/>
          <w:numId w:val="5"/>
        </w:numPr>
        <w:ind w:left="851" w:hanging="567"/>
        <w:rPr>
          <w:color w:val="auto"/>
          <w:sz w:val="22"/>
          <w:szCs w:val="22"/>
        </w:rPr>
      </w:pPr>
      <w:r w:rsidRPr="4928D91D">
        <w:rPr>
          <w:rFonts w:cs="Arial"/>
          <w:color w:val="auto"/>
        </w:rPr>
        <w:t xml:space="preserve">HRA </w:t>
      </w:r>
      <w:r w:rsidR="2D646392" w:rsidRPr="4928D91D">
        <w:rPr>
          <w:rFonts w:cs="Arial"/>
          <w:color w:val="auto"/>
        </w:rPr>
        <w:t xml:space="preserve">budgeted </w:t>
      </w:r>
      <w:r w:rsidR="007A5620" w:rsidRPr="4928D91D">
        <w:rPr>
          <w:rFonts w:cs="Arial"/>
          <w:color w:val="auto"/>
        </w:rPr>
        <w:t>deficit</w:t>
      </w:r>
      <w:r w:rsidR="2D646392" w:rsidRPr="4928D91D">
        <w:rPr>
          <w:rFonts w:cs="Arial"/>
          <w:color w:val="auto"/>
        </w:rPr>
        <w:t xml:space="preserve"> agreed</w:t>
      </w:r>
      <w:r w:rsidR="421DB164" w:rsidRPr="4928D91D">
        <w:rPr>
          <w:rFonts w:cs="Arial"/>
          <w:color w:val="auto"/>
        </w:rPr>
        <w:t xml:space="preserve"> by the Council in February 202</w:t>
      </w:r>
      <w:r w:rsidR="0075305F">
        <w:rPr>
          <w:rFonts w:cs="Arial"/>
          <w:color w:val="auto"/>
        </w:rPr>
        <w:t>5</w:t>
      </w:r>
      <w:r w:rsidR="2D646392" w:rsidRPr="4928D91D">
        <w:rPr>
          <w:rFonts w:cs="Arial"/>
          <w:color w:val="auto"/>
        </w:rPr>
        <w:t xml:space="preserve"> </w:t>
      </w:r>
      <w:r w:rsidR="00832F91" w:rsidRPr="4928D91D">
        <w:rPr>
          <w:rFonts w:cs="Arial"/>
          <w:color w:val="auto"/>
        </w:rPr>
        <w:t xml:space="preserve">for </w:t>
      </w:r>
      <w:r w:rsidR="00864FAA" w:rsidRPr="4928D91D">
        <w:rPr>
          <w:rFonts w:cs="Arial"/>
          <w:color w:val="auto"/>
        </w:rPr>
        <w:t>20</w:t>
      </w:r>
      <w:r w:rsidR="00832F91" w:rsidRPr="4928D91D">
        <w:rPr>
          <w:rFonts w:cs="Arial"/>
          <w:color w:val="auto"/>
        </w:rPr>
        <w:t>2</w:t>
      </w:r>
      <w:r w:rsidR="0075305F">
        <w:rPr>
          <w:rFonts w:cs="Arial"/>
          <w:color w:val="auto"/>
        </w:rPr>
        <w:t>5</w:t>
      </w:r>
      <w:r w:rsidR="00832F91" w:rsidRPr="4928D91D">
        <w:rPr>
          <w:rFonts w:cs="Arial"/>
          <w:color w:val="auto"/>
        </w:rPr>
        <w:t>/2</w:t>
      </w:r>
      <w:r w:rsidR="0075305F">
        <w:rPr>
          <w:rFonts w:cs="Arial"/>
          <w:color w:val="auto"/>
        </w:rPr>
        <w:t>6</w:t>
      </w:r>
      <w:r w:rsidR="00832F91" w:rsidRPr="4928D91D">
        <w:rPr>
          <w:rFonts w:cs="Arial"/>
          <w:color w:val="auto"/>
        </w:rPr>
        <w:t xml:space="preserve"> </w:t>
      </w:r>
      <w:r w:rsidR="2D646392" w:rsidRPr="4928D91D">
        <w:rPr>
          <w:rFonts w:cs="Arial"/>
          <w:color w:val="auto"/>
        </w:rPr>
        <w:t>was £</w:t>
      </w:r>
      <w:r w:rsidR="0075305F">
        <w:rPr>
          <w:rFonts w:cs="Arial"/>
          <w:color w:val="auto"/>
        </w:rPr>
        <w:t>2.603</w:t>
      </w:r>
      <w:r w:rsidR="00832F91" w:rsidRPr="4928D91D">
        <w:rPr>
          <w:rFonts w:cs="Arial"/>
          <w:color w:val="auto"/>
        </w:rPr>
        <w:t>m</w:t>
      </w:r>
      <w:r w:rsidR="2D646392" w:rsidRPr="4928D91D">
        <w:rPr>
          <w:rFonts w:cs="Arial"/>
          <w:color w:val="auto"/>
        </w:rPr>
        <w:t xml:space="preserve">. </w:t>
      </w:r>
      <w:r w:rsidR="71D214C1" w:rsidRPr="4928D91D">
        <w:rPr>
          <w:rFonts w:cs="Arial"/>
          <w:color w:val="auto"/>
        </w:rPr>
        <w:t xml:space="preserve">The </w:t>
      </w:r>
      <w:r w:rsidR="00757B18">
        <w:rPr>
          <w:rFonts w:cs="Arial"/>
          <w:color w:val="auto"/>
        </w:rPr>
        <w:t xml:space="preserve">latest budget and </w:t>
      </w:r>
      <w:r w:rsidR="71D214C1" w:rsidRPr="4928D91D">
        <w:rPr>
          <w:rFonts w:cs="Arial"/>
          <w:color w:val="auto"/>
        </w:rPr>
        <w:t xml:space="preserve">current forecast outturn </w:t>
      </w:r>
      <w:r w:rsidR="00757B18">
        <w:rPr>
          <w:rFonts w:cs="Arial"/>
          <w:color w:val="auto"/>
        </w:rPr>
        <w:t>for 2025/26 remain</w:t>
      </w:r>
      <w:r w:rsidR="00813A7D">
        <w:rPr>
          <w:rFonts w:cs="Arial"/>
          <w:color w:val="auto"/>
        </w:rPr>
        <w:t>s</w:t>
      </w:r>
      <w:r w:rsidR="00757B18">
        <w:rPr>
          <w:rFonts w:cs="Arial"/>
          <w:color w:val="auto"/>
        </w:rPr>
        <w:t xml:space="preserve"> the same </w:t>
      </w:r>
      <w:proofErr w:type="gramStart"/>
      <w:r w:rsidR="00757B18">
        <w:rPr>
          <w:rFonts w:cs="Arial"/>
          <w:color w:val="auto"/>
        </w:rPr>
        <w:t>at</w:t>
      </w:r>
      <w:proofErr w:type="gramEnd"/>
      <w:r w:rsidR="00757B18">
        <w:rPr>
          <w:rFonts w:cs="Arial"/>
          <w:color w:val="auto"/>
        </w:rPr>
        <w:t xml:space="preserve"> 30 June 2025.</w:t>
      </w:r>
      <w:r w:rsidR="00757B18" w:rsidRPr="00757B18">
        <w:t xml:space="preserve"> </w:t>
      </w:r>
    </w:p>
    <w:p w14:paraId="19A4197C" w14:textId="77777777" w:rsidR="00757B18" w:rsidRDefault="00757B18" w:rsidP="00757B18">
      <w:pPr>
        <w:ind w:left="851"/>
        <w:rPr>
          <w:rFonts w:cs="Arial"/>
          <w:color w:val="auto"/>
        </w:rPr>
      </w:pPr>
      <w:r>
        <w:t>For</w:t>
      </w:r>
      <w:r w:rsidRPr="00757B18">
        <w:rPr>
          <w:rFonts w:cs="Arial"/>
          <w:color w:val="auto"/>
        </w:rPr>
        <w:t xml:space="preserve"> Q1 2025/26 the HRA currently have a favourable variance to budget of £1.2m mainly due </w:t>
      </w:r>
      <w:r>
        <w:rPr>
          <w:rFonts w:cs="Arial"/>
          <w:color w:val="auto"/>
        </w:rPr>
        <w:t xml:space="preserve">an </w:t>
      </w:r>
      <w:r w:rsidRPr="00757B18">
        <w:rPr>
          <w:rFonts w:cs="Arial"/>
          <w:color w:val="auto"/>
        </w:rPr>
        <w:t>underspend on Responsive &amp; Cyclical Repairs</w:t>
      </w:r>
      <w:r>
        <w:rPr>
          <w:rFonts w:cs="Arial"/>
          <w:color w:val="auto"/>
        </w:rPr>
        <w:t>;</w:t>
      </w:r>
      <w:r w:rsidRPr="00757B18">
        <w:rPr>
          <w:rFonts w:cs="Arial"/>
          <w:color w:val="auto"/>
        </w:rPr>
        <w:t xml:space="preserve"> the budget </w:t>
      </w:r>
      <w:r>
        <w:rPr>
          <w:rFonts w:cs="Arial"/>
          <w:color w:val="auto"/>
        </w:rPr>
        <w:t xml:space="preserve">for this expenditure category </w:t>
      </w:r>
      <w:r w:rsidRPr="00757B18">
        <w:rPr>
          <w:rFonts w:cs="Arial"/>
          <w:color w:val="auto"/>
        </w:rPr>
        <w:t xml:space="preserve">has been increased from </w:t>
      </w:r>
      <w:r>
        <w:rPr>
          <w:rFonts w:cs="Arial"/>
          <w:color w:val="auto"/>
        </w:rPr>
        <w:t>2024/25 and</w:t>
      </w:r>
      <w:r w:rsidRPr="00757B18">
        <w:rPr>
          <w:rFonts w:cs="Arial"/>
          <w:color w:val="auto"/>
        </w:rPr>
        <w:t xml:space="preserve"> it is expected to be </w:t>
      </w:r>
      <w:r>
        <w:rPr>
          <w:rFonts w:cs="Arial"/>
          <w:color w:val="auto"/>
        </w:rPr>
        <w:t xml:space="preserve">fully </w:t>
      </w:r>
      <w:r w:rsidRPr="00757B18">
        <w:rPr>
          <w:rFonts w:cs="Arial"/>
          <w:color w:val="auto"/>
        </w:rPr>
        <w:t xml:space="preserve">spent by </w:t>
      </w:r>
      <w:r>
        <w:rPr>
          <w:rFonts w:cs="Arial"/>
          <w:color w:val="auto"/>
        </w:rPr>
        <w:t>31 March 2026</w:t>
      </w:r>
      <w:r w:rsidRPr="00757B18">
        <w:rPr>
          <w:rFonts w:cs="Arial"/>
          <w:color w:val="auto"/>
        </w:rPr>
        <w:t xml:space="preserve">. </w:t>
      </w:r>
    </w:p>
    <w:p w14:paraId="69AF5EB9" w14:textId="4F810BEF" w:rsidR="00204936" w:rsidRPr="00757B18" w:rsidRDefault="39AF6AEC" w:rsidP="00757B18">
      <w:pPr>
        <w:ind w:left="851"/>
        <w:rPr>
          <w:color w:val="auto"/>
          <w:sz w:val="22"/>
          <w:szCs w:val="22"/>
        </w:rPr>
      </w:pPr>
      <w:r w:rsidRPr="00757B18">
        <w:rPr>
          <w:rFonts w:cs="Arial"/>
          <w:color w:val="auto"/>
        </w:rPr>
        <w:t xml:space="preserve">Reasons for the </w:t>
      </w:r>
      <w:r w:rsidR="00813A7D">
        <w:rPr>
          <w:rFonts w:cs="Arial"/>
          <w:color w:val="auto"/>
        </w:rPr>
        <w:t xml:space="preserve">current </w:t>
      </w:r>
      <w:r w:rsidRPr="00757B18">
        <w:rPr>
          <w:rFonts w:cs="Arial"/>
          <w:color w:val="auto"/>
        </w:rPr>
        <w:t>varia</w:t>
      </w:r>
      <w:r w:rsidR="00757B18">
        <w:rPr>
          <w:rFonts w:cs="Arial"/>
          <w:color w:val="auto"/>
        </w:rPr>
        <w:t xml:space="preserve">tion </w:t>
      </w:r>
      <w:r w:rsidRPr="00757B18">
        <w:rPr>
          <w:rFonts w:cs="Arial"/>
          <w:color w:val="auto"/>
        </w:rPr>
        <w:t>include:</w:t>
      </w:r>
    </w:p>
    <w:p w14:paraId="1C3FBBC1" w14:textId="77777777" w:rsidR="00757B18" w:rsidRPr="003E0DDB" w:rsidRDefault="39AF6AEC" w:rsidP="003E0DDB">
      <w:pPr>
        <w:ind w:left="851"/>
        <w:rPr>
          <w:color w:val="auto"/>
        </w:rPr>
      </w:pPr>
      <w:r w:rsidRPr="003E0DDB">
        <w:rPr>
          <w:b/>
          <w:bCs/>
          <w:color w:val="auto"/>
          <w:u w:val="single"/>
        </w:rPr>
        <w:lastRenderedPageBreak/>
        <w:t>Income</w:t>
      </w:r>
      <w:r w:rsidRPr="003E0DDB">
        <w:rPr>
          <w:b/>
          <w:bCs/>
          <w:color w:val="auto"/>
        </w:rPr>
        <w:t xml:space="preserve"> – </w:t>
      </w:r>
      <w:r w:rsidR="00757B18" w:rsidRPr="003E0DDB">
        <w:rPr>
          <w:color w:val="auto"/>
        </w:rPr>
        <w:t>1Q 2025/26 actual income of £15.07m is slightly below the corresponding budget of £15.34m by £0.27m due to:</w:t>
      </w:r>
    </w:p>
    <w:p w14:paraId="5E477FF1" w14:textId="5E47C1EB" w:rsidR="00757B18" w:rsidRPr="003E0DDB" w:rsidRDefault="00757B18" w:rsidP="003E0DDB">
      <w:pPr>
        <w:pStyle w:val="ListParagraph"/>
        <w:numPr>
          <w:ilvl w:val="1"/>
          <w:numId w:val="36"/>
        </w:numPr>
        <w:ind w:left="1134" w:hanging="283"/>
        <w:rPr>
          <w:color w:val="000000" w:themeColor="text1"/>
        </w:rPr>
      </w:pPr>
      <w:r w:rsidRPr="003E0DDB">
        <w:rPr>
          <w:color w:val="000000" w:themeColor="text1"/>
        </w:rPr>
        <w:t>Dwelling Rent underachieving by £0.33m; there is an expected increase in rental income of circa £2.6m for new build homes during the year</w:t>
      </w:r>
    </w:p>
    <w:p w14:paraId="780422B4" w14:textId="01E742F8" w:rsidR="00757B18" w:rsidRPr="003E0DDB" w:rsidRDefault="00757B18" w:rsidP="003E0DDB">
      <w:pPr>
        <w:pStyle w:val="ListParagraph"/>
        <w:numPr>
          <w:ilvl w:val="1"/>
          <w:numId w:val="36"/>
        </w:numPr>
        <w:ind w:left="1134" w:hanging="283"/>
        <w:rPr>
          <w:color w:val="000000" w:themeColor="text1"/>
        </w:rPr>
      </w:pPr>
      <w:r w:rsidRPr="003E0DDB">
        <w:rPr>
          <w:color w:val="000000" w:themeColor="text1"/>
        </w:rPr>
        <w:t>A small increase to Service Charges and Garages Income</w:t>
      </w:r>
    </w:p>
    <w:p w14:paraId="51B451A5" w14:textId="405E7F4B" w:rsidR="00757B18" w:rsidRPr="003E0DDB" w:rsidRDefault="00757B18" w:rsidP="003E0DDB">
      <w:pPr>
        <w:pStyle w:val="ListParagraph"/>
        <w:numPr>
          <w:ilvl w:val="1"/>
          <w:numId w:val="36"/>
        </w:numPr>
        <w:ind w:left="1134" w:hanging="283"/>
        <w:rPr>
          <w:color w:val="000000" w:themeColor="text1"/>
        </w:rPr>
      </w:pPr>
      <w:r w:rsidRPr="003E0DDB">
        <w:rPr>
          <w:color w:val="000000" w:themeColor="text1"/>
        </w:rPr>
        <w:t>A small increase to Miscellaneous Income from: Leased properties rental</w:t>
      </w:r>
      <w:r w:rsidR="00680FE1" w:rsidRPr="003E0DDB">
        <w:rPr>
          <w:color w:val="000000" w:themeColor="text1"/>
        </w:rPr>
        <w:t xml:space="preserve"> </w:t>
      </w:r>
      <w:r w:rsidRPr="003E0DDB">
        <w:rPr>
          <w:color w:val="000000" w:themeColor="text1"/>
        </w:rPr>
        <w:t>and lease assignments £</w:t>
      </w:r>
      <w:r w:rsidR="00680FE1" w:rsidRPr="003E0DDB">
        <w:rPr>
          <w:color w:val="000000" w:themeColor="text1"/>
        </w:rPr>
        <w:t>0.047m</w:t>
      </w:r>
      <w:r w:rsidRPr="003E0DDB">
        <w:rPr>
          <w:color w:val="000000" w:themeColor="text1"/>
        </w:rPr>
        <w:t>, less F</w:t>
      </w:r>
      <w:r w:rsidR="00813A7D">
        <w:rPr>
          <w:color w:val="000000" w:themeColor="text1"/>
        </w:rPr>
        <w:t xml:space="preserve">eed </w:t>
      </w:r>
      <w:proofErr w:type="gramStart"/>
      <w:r w:rsidRPr="003E0DDB">
        <w:rPr>
          <w:color w:val="000000" w:themeColor="text1"/>
        </w:rPr>
        <w:t>I</w:t>
      </w:r>
      <w:r w:rsidR="00813A7D">
        <w:rPr>
          <w:color w:val="000000" w:themeColor="text1"/>
        </w:rPr>
        <w:t>n</w:t>
      </w:r>
      <w:proofErr w:type="gramEnd"/>
      <w:r w:rsidR="00813A7D">
        <w:rPr>
          <w:color w:val="000000" w:themeColor="text1"/>
        </w:rPr>
        <w:t xml:space="preserve"> </w:t>
      </w:r>
      <w:r w:rsidRPr="003E0DDB">
        <w:rPr>
          <w:color w:val="000000" w:themeColor="text1"/>
        </w:rPr>
        <w:t>T</w:t>
      </w:r>
      <w:r w:rsidR="00813A7D">
        <w:rPr>
          <w:color w:val="000000" w:themeColor="text1"/>
        </w:rPr>
        <w:t>ariff</w:t>
      </w:r>
      <w:r w:rsidRPr="003E0DDB">
        <w:rPr>
          <w:color w:val="000000" w:themeColor="text1"/>
        </w:rPr>
        <w:t xml:space="preserve"> income grant and income from Furnished Tenancies £</w:t>
      </w:r>
      <w:r w:rsidR="00680FE1" w:rsidRPr="003E0DDB">
        <w:rPr>
          <w:color w:val="000000" w:themeColor="text1"/>
        </w:rPr>
        <w:t>0.02</w:t>
      </w:r>
      <w:r w:rsidRPr="003E0DDB">
        <w:rPr>
          <w:color w:val="000000" w:themeColor="text1"/>
        </w:rPr>
        <w:t>1</w:t>
      </w:r>
      <w:r w:rsidR="00680FE1" w:rsidRPr="003E0DDB">
        <w:rPr>
          <w:color w:val="000000" w:themeColor="text1"/>
        </w:rPr>
        <w:t>m</w:t>
      </w:r>
    </w:p>
    <w:p w14:paraId="2BE031D3" w14:textId="1A77BC29" w:rsidR="00757B18" w:rsidRPr="00757B18" w:rsidRDefault="00757B18" w:rsidP="003E0DDB">
      <w:pPr>
        <w:ind w:left="851"/>
      </w:pPr>
      <w:r w:rsidRPr="003E0DDB">
        <w:rPr>
          <w:b/>
          <w:bCs/>
          <w:u w:val="single"/>
        </w:rPr>
        <w:t>Expenditure</w:t>
      </w:r>
      <w:r>
        <w:t xml:space="preserve"> - </w:t>
      </w:r>
      <w:r w:rsidRPr="00757B18">
        <w:t>1Q 2025/26 actual expenditure of £6.39m is lower than the corresponding budget of £7.86m by £1.47m. This is attributed to:</w:t>
      </w:r>
    </w:p>
    <w:p w14:paraId="22800A04" w14:textId="04FD4D76" w:rsidR="00680FE1" w:rsidRPr="003E0DDB" w:rsidRDefault="00680FE1" w:rsidP="003E0DDB">
      <w:pPr>
        <w:pStyle w:val="ListParagraph"/>
        <w:numPr>
          <w:ilvl w:val="1"/>
          <w:numId w:val="36"/>
        </w:numPr>
        <w:ind w:left="1134" w:hanging="283"/>
        <w:rPr>
          <w:color w:val="000000" w:themeColor="text1"/>
        </w:rPr>
      </w:pPr>
      <w:r w:rsidRPr="003E0DDB">
        <w:rPr>
          <w:b/>
          <w:bCs/>
          <w:color w:val="000000" w:themeColor="text1"/>
        </w:rPr>
        <w:t>Management and Services (Stock Related)</w:t>
      </w:r>
      <w:r w:rsidRPr="003E0DDB">
        <w:rPr>
          <w:color w:val="000000" w:themeColor="text1"/>
        </w:rPr>
        <w:t xml:space="preserve"> is currently underspent by £0.474m, due to:</w:t>
      </w:r>
    </w:p>
    <w:p w14:paraId="250CF886" w14:textId="51069833" w:rsidR="00680FE1" w:rsidRPr="003E0DDB" w:rsidRDefault="00680FE1" w:rsidP="003E0DDB">
      <w:pPr>
        <w:pStyle w:val="ListParagraph"/>
        <w:numPr>
          <w:ilvl w:val="2"/>
          <w:numId w:val="14"/>
        </w:numPr>
        <w:tabs>
          <w:tab w:val="clear" w:pos="426"/>
        </w:tabs>
        <w:ind w:left="1418" w:hanging="302"/>
      </w:pPr>
      <w:r w:rsidRPr="003E0DDB">
        <w:t xml:space="preserve">Savings on salaries of £0.434m, </w:t>
      </w:r>
      <w:proofErr w:type="gramStart"/>
      <w:r w:rsidRPr="003E0DDB">
        <w:t>a number of</w:t>
      </w:r>
      <w:proofErr w:type="gramEnd"/>
      <w:r w:rsidRPr="003E0DDB">
        <w:t xml:space="preserve"> vacant posts across the area are awaiting the outcome of the Landlord Services Transformation, </w:t>
      </w:r>
      <w:r w:rsidR="00D84DE0">
        <w:t xml:space="preserve">offset by </w:t>
      </w:r>
      <w:r w:rsidRPr="003E0DDB">
        <w:t xml:space="preserve">posts within Property Services that </w:t>
      </w:r>
      <w:r w:rsidR="00813A7D">
        <w:t xml:space="preserve">have </w:t>
      </w:r>
      <w:r w:rsidR="00D84DE0">
        <w:t>yet</w:t>
      </w:r>
      <w:r w:rsidRPr="003E0DDB">
        <w:t xml:space="preserve"> be charged to the HRA</w:t>
      </w:r>
    </w:p>
    <w:p w14:paraId="7DA6E193" w14:textId="52B511D9" w:rsidR="00680FE1" w:rsidRPr="003E0DDB" w:rsidRDefault="00680FE1" w:rsidP="003E0DDB">
      <w:pPr>
        <w:pStyle w:val="ListParagraph"/>
        <w:numPr>
          <w:ilvl w:val="2"/>
          <w:numId w:val="14"/>
        </w:numPr>
        <w:tabs>
          <w:tab w:val="clear" w:pos="426"/>
        </w:tabs>
        <w:ind w:left="1418" w:hanging="302"/>
      </w:pPr>
      <w:r w:rsidRPr="003E0DDB">
        <w:t>Savings of £0.148m on utilities and £0.076m on Supplies &amp; Services against the profiled budget</w:t>
      </w:r>
    </w:p>
    <w:p w14:paraId="747B3D83" w14:textId="63B25619" w:rsidR="006875D6" w:rsidRDefault="7DF3DCD7" w:rsidP="006875D6">
      <w:pPr>
        <w:spacing w:line="259" w:lineRule="auto"/>
        <w:ind w:left="1116"/>
      </w:pPr>
      <w:r>
        <w:t>These underspends are reduced by</w:t>
      </w:r>
      <w:r w:rsidR="006875D6">
        <w:t>:</w:t>
      </w:r>
    </w:p>
    <w:p w14:paraId="0628CDC0" w14:textId="5E6566A7" w:rsidR="00680FE1" w:rsidRPr="006875D6" w:rsidRDefault="00680FE1" w:rsidP="006875D6">
      <w:pPr>
        <w:pStyle w:val="ListParagraph"/>
        <w:numPr>
          <w:ilvl w:val="2"/>
          <w:numId w:val="14"/>
        </w:numPr>
        <w:tabs>
          <w:tab w:val="clear" w:pos="426"/>
        </w:tabs>
        <w:ind w:left="1418" w:hanging="302"/>
      </w:pPr>
      <w:r w:rsidRPr="003E0DDB">
        <w:t xml:space="preserve">An </w:t>
      </w:r>
      <w:r w:rsidR="01EF8251">
        <w:t>adverse variance</w:t>
      </w:r>
      <w:r w:rsidRPr="003E0DDB">
        <w:t xml:space="preserve"> of £</w:t>
      </w:r>
      <w:r w:rsidR="6C060635">
        <w:t>0.</w:t>
      </w:r>
      <w:r>
        <w:t>155</w:t>
      </w:r>
      <w:r w:rsidR="06E6732D">
        <w:t>m</w:t>
      </w:r>
      <w:r w:rsidRPr="003E0DDB">
        <w:t xml:space="preserve"> on Council tax payments </w:t>
      </w:r>
      <w:r w:rsidR="025F0252">
        <w:t>in respect of</w:t>
      </w:r>
      <w:r w:rsidRPr="003E0DDB">
        <w:t xml:space="preserve"> void properties</w:t>
      </w:r>
      <w:r w:rsidR="1A2FFC49">
        <w:t>.</w:t>
      </w:r>
    </w:p>
    <w:p w14:paraId="6669F047" w14:textId="55059128" w:rsidR="00680FE1" w:rsidRPr="003E0DDB" w:rsidRDefault="00680FE1" w:rsidP="003E0DDB">
      <w:pPr>
        <w:pStyle w:val="ListParagraph"/>
        <w:numPr>
          <w:ilvl w:val="2"/>
          <w:numId w:val="14"/>
        </w:numPr>
        <w:tabs>
          <w:tab w:val="clear" w:pos="426"/>
        </w:tabs>
        <w:ind w:left="1418" w:hanging="302"/>
      </w:pPr>
      <w:r w:rsidRPr="003E0DDB">
        <w:t>An overspend of £0.03m on leasehold properties Service Charges</w:t>
      </w:r>
    </w:p>
    <w:p w14:paraId="59BF6388" w14:textId="5084493B" w:rsidR="00680FE1" w:rsidRPr="003E0DDB" w:rsidRDefault="00680FE1" w:rsidP="003E0DDB">
      <w:pPr>
        <w:pStyle w:val="ListParagraph"/>
        <w:numPr>
          <w:ilvl w:val="1"/>
          <w:numId w:val="36"/>
        </w:numPr>
        <w:ind w:left="1134" w:hanging="283"/>
        <w:rPr>
          <w:color w:val="000000" w:themeColor="text1"/>
        </w:rPr>
      </w:pPr>
      <w:r w:rsidRPr="003E0DDB">
        <w:rPr>
          <w:b/>
          <w:bCs/>
          <w:color w:val="000000" w:themeColor="text1"/>
        </w:rPr>
        <w:t xml:space="preserve">Bad Debt </w:t>
      </w:r>
      <w:r w:rsidRPr="003E0DDB">
        <w:rPr>
          <w:color w:val="000000" w:themeColor="text1"/>
        </w:rPr>
        <w:t>- a current saving of £</w:t>
      </w:r>
      <w:r w:rsidR="003D0BD3" w:rsidRPr="003E0DDB">
        <w:rPr>
          <w:color w:val="000000" w:themeColor="text1"/>
        </w:rPr>
        <w:t>0.</w:t>
      </w:r>
      <w:r w:rsidRPr="003E0DDB">
        <w:rPr>
          <w:color w:val="000000" w:themeColor="text1"/>
        </w:rPr>
        <w:t>115</w:t>
      </w:r>
      <w:r w:rsidR="003D0BD3" w:rsidRPr="003E0DDB">
        <w:rPr>
          <w:color w:val="000000" w:themeColor="text1"/>
        </w:rPr>
        <w:t>m</w:t>
      </w:r>
      <w:r w:rsidRPr="003E0DDB">
        <w:rPr>
          <w:color w:val="000000" w:themeColor="text1"/>
        </w:rPr>
        <w:t xml:space="preserve"> for the bad debt provision; this budget may be able to be reduced in future.</w:t>
      </w:r>
      <w:r w:rsidR="00D84DE0">
        <w:rPr>
          <w:color w:val="000000" w:themeColor="text1"/>
        </w:rPr>
        <w:t xml:space="preserve"> At this stage it is too early to say whether this position will be maintained.</w:t>
      </w:r>
    </w:p>
    <w:p w14:paraId="20ECC27C" w14:textId="77777777" w:rsidR="00D07CC1" w:rsidRPr="003E0DDB" w:rsidRDefault="003D0BD3" w:rsidP="003E0DDB">
      <w:pPr>
        <w:pStyle w:val="ListParagraph"/>
        <w:numPr>
          <w:ilvl w:val="1"/>
          <w:numId w:val="36"/>
        </w:numPr>
        <w:ind w:left="1134" w:hanging="283"/>
        <w:rPr>
          <w:color w:val="000000" w:themeColor="text1"/>
        </w:rPr>
      </w:pPr>
      <w:r w:rsidRPr="003E0DDB">
        <w:rPr>
          <w:b/>
          <w:bCs/>
          <w:color w:val="000000" w:themeColor="text1"/>
        </w:rPr>
        <w:t xml:space="preserve">Responsive &amp; Cyclical Repairs </w:t>
      </w:r>
      <w:r w:rsidRPr="003E0DDB">
        <w:rPr>
          <w:color w:val="000000" w:themeColor="text1"/>
        </w:rPr>
        <w:t>- the 1Q actual expenditure is £3.68m for Responsive and Cyclical Repairs which compared to the corresponding budget of £4.56m is a favourable variance to date of £</w:t>
      </w:r>
      <w:proofErr w:type="gramStart"/>
      <w:r w:rsidRPr="003E0DDB">
        <w:rPr>
          <w:color w:val="000000" w:themeColor="text1"/>
        </w:rPr>
        <w:t>0.880m.The</w:t>
      </w:r>
      <w:proofErr w:type="gramEnd"/>
      <w:r w:rsidRPr="003E0DDB">
        <w:rPr>
          <w:color w:val="000000" w:themeColor="text1"/>
        </w:rPr>
        <w:t xml:space="preserve"> expenditure is being carefully managed within the increased budget from 2024/25; the 2025/26 budget is currently forecast to be spent by year end.</w:t>
      </w:r>
      <w:r w:rsidR="00D07CC1" w:rsidRPr="003E0DDB">
        <w:rPr>
          <w:color w:val="000000" w:themeColor="text1"/>
        </w:rPr>
        <w:t xml:space="preserve"> </w:t>
      </w:r>
    </w:p>
    <w:p w14:paraId="0511C9D5" w14:textId="0ED928BD" w:rsidR="003D0BD3" w:rsidRPr="003E0DDB" w:rsidRDefault="00D07CC1" w:rsidP="003E0DDB">
      <w:pPr>
        <w:ind w:left="1134"/>
        <w:rPr>
          <w:color w:val="000000" w:themeColor="text1"/>
        </w:rPr>
      </w:pPr>
      <w:r w:rsidRPr="003E0DDB">
        <w:rPr>
          <w:color w:val="000000" w:themeColor="text1"/>
        </w:rPr>
        <w:t xml:space="preserve">We continue to move works where possible into capital programmes and reduce the element of reactive works. </w:t>
      </w:r>
      <w:r w:rsidR="003D0BD3" w:rsidRPr="003E0DDB">
        <w:rPr>
          <w:color w:val="000000" w:themeColor="text1"/>
        </w:rPr>
        <w:t>The favourable variance</w:t>
      </w:r>
      <w:r w:rsidRPr="003E0DDB">
        <w:rPr>
          <w:color w:val="000000" w:themeColor="text1"/>
        </w:rPr>
        <w:t xml:space="preserve"> </w:t>
      </w:r>
      <w:r w:rsidR="00D84DE0">
        <w:rPr>
          <w:color w:val="000000" w:themeColor="text1"/>
        </w:rPr>
        <w:t>o</w:t>
      </w:r>
      <w:r w:rsidRPr="003E0DDB">
        <w:rPr>
          <w:color w:val="000000" w:themeColor="text1"/>
        </w:rPr>
        <w:t>f £0.880m</w:t>
      </w:r>
      <w:r w:rsidR="003D0BD3" w:rsidRPr="003E0DDB">
        <w:rPr>
          <w:color w:val="000000" w:themeColor="text1"/>
        </w:rPr>
        <w:t xml:space="preserve"> is </w:t>
      </w:r>
      <w:r w:rsidRPr="003E0DDB">
        <w:rPr>
          <w:color w:val="000000" w:themeColor="text1"/>
        </w:rPr>
        <w:t xml:space="preserve">largely </w:t>
      </w:r>
      <w:r w:rsidR="003D0BD3" w:rsidRPr="003E0DDB">
        <w:rPr>
          <w:color w:val="000000" w:themeColor="text1"/>
        </w:rPr>
        <w:t>a</w:t>
      </w:r>
      <w:r w:rsidRPr="003E0DDB">
        <w:rPr>
          <w:color w:val="000000" w:themeColor="text1"/>
        </w:rPr>
        <w:t>ttributed to the following areas:</w:t>
      </w:r>
    </w:p>
    <w:p w14:paraId="0DC413E0" w14:textId="0CFCAB43" w:rsidR="00D07CC1" w:rsidRPr="00F80635" w:rsidRDefault="00D07CC1" w:rsidP="003E0DDB">
      <w:pPr>
        <w:pStyle w:val="ListParagraph"/>
        <w:numPr>
          <w:ilvl w:val="2"/>
          <w:numId w:val="14"/>
        </w:numPr>
        <w:tabs>
          <w:tab w:val="clear" w:pos="426"/>
        </w:tabs>
        <w:ind w:left="1418" w:hanging="302"/>
      </w:pPr>
      <w:r w:rsidRPr="003E0DDB">
        <w:t>Day to Day</w:t>
      </w:r>
      <w:r>
        <w:t xml:space="preserve"> jobs</w:t>
      </w:r>
      <w:r w:rsidRPr="00D07CC1">
        <w:t xml:space="preserve"> </w:t>
      </w:r>
      <w:r w:rsidRPr="00F80635">
        <w:t>- £</w:t>
      </w:r>
      <w:r>
        <w:t>0.61m underspend in 1Q on</w:t>
      </w:r>
      <w:r w:rsidRPr="00F80635">
        <w:t xml:space="preserve"> demand led jobs raised by tenants via the contact centre</w:t>
      </w:r>
    </w:p>
    <w:p w14:paraId="399A3BC1" w14:textId="457BC52B" w:rsidR="00147DA9" w:rsidRPr="003E0DDB" w:rsidRDefault="39AF6AEC" w:rsidP="003E0DDB">
      <w:pPr>
        <w:pStyle w:val="ListParagraph"/>
        <w:numPr>
          <w:ilvl w:val="2"/>
          <w:numId w:val="14"/>
        </w:numPr>
        <w:tabs>
          <w:tab w:val="clear" w:pos="426"/>
        </w:tabs>
        <w:ind w:left="1418" w:hanging="302"/>
      </w:pPr>
      <w:r w:rsidRPr="003E0DDB">
        <w:t>General Minor works - £</w:t>
      </w:r>
      <w:r w:rsidR="00D07CC1" w:rsidRPr="003E0DDB">
        <w:t>0.422m overspend</w:t>
      </w:r>
      <w:r w:rsidR="0428CCB3" w:rsidRPr="003E0DDB">
        <w:t>. This is a demand led budget which council officers are trying to reduce in favour of undertak</w:t>
      </w:r>
      <w:r w:rsidR="00F80635" w:rsidRPr="003E0DDB">
        <w:t>ing</w:t>
      </w:r>
      <w:r w:rsidR="0428CCB3" w:rsidRPr="003E0DDB">
        <w:t xml:space="preserve"> more planned work</w:t>
      </w:r>
      <w:r w:rsidR="00B436A9" w:rsidRPr="003E0DDB">
        <w:t>.</w:t>
      </w:r>
    </w:p>
    <w:p w14:paraId="53472930" w14:textId="77777777" w:rsidR="00D07CC1" w:rsidRPr="00D07CC1" w:rsidRDefault="00D07CC1" w:rsidP="003E0DDB">
      <w:pPr>
        <w:pStyle w:val="ListParagraph"/>
        <w:numPr>
          <w:ilvl w:val="2"/>
          <w:numId w:val="14"/>
        </w:numPr>
        <w:tabs>
          <w:tab w:val="clear" w:pos="426"/>
        </w:tabs>
        <w:ind w:left="1418" w:hanging="302"/>
      </w:pPr>
      <w:r w:rsidRPr="003E0DDB">
        <w:t>Electrical upgrades - £0.209m underspend</w:t>
      </w:r>
    </w:p>
    <w:p w14:paraId="267114D4" w14:textId="4CB3DC5F" w:rsidR="00D07CC1" w:rsidRPr="00D07CC1" w:rsidRDefault="00D07CC1" w:rsidP="003E0DDB">
      <w:pPr>
        <w:pStyle w:val="ListParagraph"/>
        <w:numPr>
          <w:ilvl w:val="2"/>
          <w:numId w:val="14"/>
        </w:numPr>
        <w:tabs>
          <w:tab w:val="clear" w:pos="426"/>
        </w:tabs>
        <w:ind w:left="1418" w:hanging="302"/>
      </w:pPr>
      <w:r>
        <w:t xml:space="preserve">Highways &amp; </w:t>
      </w:r>
      <w:proofErr w:type="gramStart"/>
      <w:r>
        <w:t>Engineering  -</w:t>
      </w:r>
      <w:proofErr w:type="gramEnd"/>
      <w:r>
        <w:t xml:space="preserve">  £0.146m underspend</w:t>
      </w:r>
    </w:p>
    <w:p w14:paraId="336EC8FB" w14:textId="77777777" w:rsidR="00E00672" w:rsidRDefault="00E00672" w:rsidP="14BF4969">
      <w:pPr>
        <w:rPr>
          <w:b/>
          <w:bCs/>
          <w:color w:val="auto"/>
          <w:highlight w:val="yellow"/>
        </w:rPr>
      </w:pPr>
    </w:p>
    <w:p w14:paraId="1F4290FE" w14:textId="3B0E6745" w:rsidR="00D122CB" w:rsidRPr="00DF7EF6" w:rsidRDefault="7D4D685D" w:rsidP="14BF4969">
      <w:pPr>
        <w:rPr>
          <w:b/>
          <w:bCs/>
          <w:color w:val="auto"/>
        </w:rPr>
      </w:pPr>
      <w:r w:rsidRPr="00E00672">
        <w:rPr>
          <w:b/>
          <w:bCs/>
          <w:color w:val="auto"/>
        </w:rPr>
        <w:t>Capital</w:t>
      </w:r>
    </w:p>
    <w:p w14:paraId="69986616" w14:textId="358093D7" w:rsidR="00107566" w:rsidRPr="00FF28C4" w:rsidRDefault="00107566" w:rsidP="00C66425">
      <w:pPr>
        <w:pStyle w:val="ListParagraph"/>
        <w:numPr>
          <w:ilvl w:val="0"/>
          <w:numId w:val="5"/>
        </w:numPr>
        <w:tabs>
          <w:tab w:val="clear" w:pos="426"/>
        </w:tabs>
        <w:ind w:left="851" w:hanging="567"/>
        <w:rPr>
          <w:color w:val="auto"/>
        </w:rPr>
      </w:pPr>
      <w:r w:rsidRPr="00FF28C4">
        <w:rPr>
          <w:color w:val="auto"/>
        </w:rPr>
        <w:lastRenderedPageBreak/>
        <w:t>The budget for 202</w:t>
      </w:r>
      <w:r w:rsidR="006479E8">
        <w:rPr>
          <w:color w:val="auto"/>
        </w:rPr>
        <w:t>5</w:t>
      </w:r>
      <w:r w:rsidR="009A32CA">
        <w:rPr>
          <w:color w:val="auto"/>
        </w:rPr>
        <w:t>/</w:t>
      </w:r>
      <w:r w:rsidRPr="00FF28C4">
        <w:rPr>
          <w:color w:val="auto"/>
        </w:rPr>
        <w:t>2</w:t>
      </w:r>
      <w:r w:rsidR="006479E8">
        <w:rPr>
          <w:color w:val="auto"/>
        </w:rPr>
        <w:t>6</w:t>
      </w:r>
      <w:r w:rsidRPr="00FF28C4">
        <w:rPr>
          <w:color w:val="auto"/>
        </w:rPr>
        <w:t>, as approved by the Council at its meeting in February 202</w:t>
      </w:r>
      <w:r w:rsidR="006479E8">
        <w:rPr>
          <w:color w:val="auto"/>
        </w:rPr>
        <w:t>5</w:t>
      </w:r>
      <w:r w:rsidRPr="00FF28C4">
        <w:rPr>
          <w:color w:val="auto"/>
        </w:rPr>
        <w:t>, was set at £</w:t>
      </w:r>
      <w:r w:rsidR="006479E8">
        <w:rPr>
          <w:color w:val="auto"/>
        </w:rPr>
        <w:t>179.014</w:t>
      </w:r>
      <w:r w:rsidR="008F2FDD">
        <w:rPr>
          <w:color w:val="auto"/>
        </w:rPr>
        <w:t>m</w:t>
      </w:r>
      <w:r w:rsidRPr="00FF28C4">
        <w:rPr>
          <w:color w:val="auto"/>
        </w:rPr>
        <w:t xml:space="preserve">. </w:t>
      </w:r>
      <w:r w:rsidRPr="00FF28C4">
        <w:rPr>
          <w:rFonts w:cs="Arial"/>
          <w:color w:val="000000" w:themeColor="text1"/>
        </w:rPr>
        <w:t>Since this point</w:t>
      </w:r>
      <w:r w:rsidR="00846018">
        <w:rPr>
          <w:rFonts w:cs="Arial"/>
          <w:color w:val="000000" w:themeColor="text1"/>
        </w:rPr>
        <w:t>,</w:t>
      </w:r>
      <w:r w:rsidRPr="00FF28C4">
        <w:rPr>
          <w:rFonts w:cs="Arial"/>
          <w:color w:val="000000" w:themeColor="text1"/>
        </w:rPr>
        <w:t xml:space="preserve"> the required carry forwards of underspends from 202</w:t>
      </w:r>
      <w:r w:rsidR="006479E8">
        <w:rPr>
          <w:rFonts w:cs="Arial"/>
          <w:color w:val="000000" w:themeColor="text1"/>
        </w:rPr>
        <w:t>4</w:t>
      </w:r>
      <w:r w:rsidRPr="00FF28C4">
        <w:rPr>
          <w:rFonts w:cs="Arial"/>
          <w:color w:val="000000" w:themeColor="text1"/>
        </w:rPr>
        <w:t>/2</w:t>
      </w:r>
      <w:r w:rsidR="006479E8">
        <w:rPr>
          <w:rFonts w:cs="Arial"/>
          <w:color w:val="000000" w:themeColor="text1"/>
        </w:rPr>
        <w:t>5</w:t>
      </w:r>
      <w:r w:rsidR="00846018">
        <w:rPr>
          <w:rFonts w:cs="Arial"/>
          <w:color w:val="000000" w:themeColor="text1"/>
        </w:rPr>
        <w:t xml:space="preserve"> of £9.321m </w:t>
      </w:r>
      <w:r w:rsidRPr="00FF28C4">
        <w:rPr>
          <w:rFonts w:cs="Arial"/>
          <w:color w:val="000000" w:themeColor="text1"/>
        </w:rPr>
        <w:t xml:space="preserve">have been included as well as </w:t>
      </w:r>
      <w:r w:rsidR="00846018" w:rsidRPr="00846018">
        <w:rPr>
          <w:rFonts w:cs="Arial"/>
          <w:color w:val="000000" w:themeColor="text1"/>
        </w:rPr>
        <w:t xml:space="preserve">£31.412m of additional budget changes including new allocations </w:t>
      </w:r>
      <w:r w:rsidRPr="00FF28C4">
        <w:rPr>
          <w:rFonts w:cs="Arial"/>
          <w:color w:val="000000" w:themeColor="text1"/>
        </w:rPr>
        <w:t xml:space="preserve">in-year </w:t>
      </w:r>
      <w:r w:rsidR="00846018">
        <w:rPr>
          <w:rFonts w:cs="Arial"/>
          <w:color w:val="000000" w:themeColor="text1"/>
        </w:rPr>
        <w:t xml:space="preserve">and </w:t>
      </w:r>
      <w:r w:rsidRPr="00FF28C4">
        <w:rPr>
          <w:rFonts w:cs="Arial"/>
          <w:color w:val="000000" w:themeColor="text1"/>
        </w:rPr>
        <w:t xml:space="preserve">budget slippages with the budgets reprofiled accordingly. This gives a revised budget </w:t>
      </w:r>
      <w:proofErr w:type="gramStart"/>
      <w:r w:rsidRPr="00FF28C4">
        <w:rPr>
          <w:rFonts w:cs="Arial"/>
          <w:color w:val="000000" w:themeColor="text1"/>
        </w:rPr>
        <w:t>at</w:t>
      </w:r>
      <w:proofErr w:type="gramEnd"/>
      <w:r w:rsidRPr="00FF28C4">
        <w:rPr>
          <w:rFonts w:cs="Arial"/>
          <w:color w:val="000000" w:themeColor="text1"/>
        </w:rPr>
        <w:t xml:space="preserve"> </w:t>
      </w:r>
      <w:r w:rsidR="00846018">
        <w:rPr>
          <w:rFonts w:cs="Arial"/>
          <w:color w:val="000000" w:themeColor="text1"/>
        </w:rPr>
        <w:t xml:space="preserve">30 </w:t>
      </w:r>
      <w:r w:rsidR="006479E8">
        <w:rPr>
          <w:rFonts w:cs="Arial"/>
          <w:color w:val="000000" w:themeColor="text1"/>
        </w:rPr>
        <w:t xml:space="preserve">June </w:t>
      </w:r>
      <w:r w:rsidRPr="00FF28C4">
        <w:rPr>
          <w:rFonts w:cs="Arial"/>
          <w:color w:val="000000" w:themeColor="text1"/>
        </w:rPr>
        <w:t>202</w:t>
      </w:r>
      <w:r w:rsidR="006479E8">
        <w:rPr>
          <w:rFonts w:cs="Arial"/>
          <w:color w:val="000000" w:themeColor="text1"/>
        </w:rPr>
        <w:t>5</w:t>
      </w:r>
      <w:r w:rsidRPr="00FF28C4">
        <w:rPr>
          <w:rFonts w:cs="Arial"/>
          <w:color w:val="000000" w:themeColor="text1"/>
        </w:rPr>
        <w:t xml:space="preserve"> of £</w:t>
      </w:r>
      <w:r w:rsidR="006479E8">
        <w:rPr>
          <w:rFonts w:cs="Arial"/>
          <w:color w:val="000000" w:themeColor="text1"/>
        </w:rPr>
        <w:t>219.747</w:t>
      </w:r>
      <w:r w:rsidR="008F2FDD">
        <w:rPr>
          <w:rFonts w:cs="Arial"/>
          <w:color w:val="000000" w:themeColor="text1"/>
        </w:rPr>
        <w:t>m</w:t>
      </w:r>
      <w:r w:rsidRPr="00FF28C4">
        <w:rPr>
          <w:rFonts w:cs="Arial"/>
          <w:color w:val="000000" w:themeColor="text1"/>
        </w:rPr>
        <w:t xml:space="preserve"> as shown in </w:t>
      </w:r>
      <w:r w:rsidR="008F47FB">
        <w:rPr>
          <w:rFonts w:cs="Arial"/>
          <w:color w:val="000000" w:themeColor="text1"/>
        </w:rPr>
        <w:t xml:space="preserve">Fig.1 and </w:t>
      </w:r>
      <w:r w:rsidR="00846018">
        <w:rPr>
          <w:rFonts w:cs="Arial"/>
          <w:color w:val="000000" w:themeColor="text1"/>
        </w:rPr>
        <w:t xml:space="preserve">in </w:t>
      </w:r>
      <w:r w:rsidRPr="00FF28C4">
        <w:rPr>
          <w:rFonts w:cs="Arial"/>
          <w:color w:val="000000" w:themeColor="text1"/>
        </w:rPr>
        <w:t xml:space="preserve">Appendix </w:t>
      </w:r>
      <w:r w:rsidR="00CC0BE2">
        <w:rPr>
          <w:rFonts w:cs="Arial"/>
          <w:color w:val="000000" w:themeColor="text1"/>
        </w:rPr>
        <w:t>3</w:t>
      </w:r>
      <w:r w:rsidRPr="00FF28C4">
        <w:rPr>
          <w:rFonts w:cs="Arial"/>
          <w:color w:val="000000" w:themeColor="text1"/>
        </w:rPr>
        <w:t>.</w:t>
      </w:r>
    </w:p>
    <w:p w14:paraId="5B117238" w14:textId="64D78A3B" w:rsidR="006479E8" w:rsidRPr="008F47FB" w:rsidRDefault="00107566" w:rsidP="00EC2D99">
      <w:pPr>
        <w:pStyle w:val="ListParagraph"/>
        <w:numPr>
          <w:ilvl w:val="0"/>
          <w:numId w:val="5"/>
        </w:numPr>
        <w:ind w:left="851" w:hanging="567"/>
        <w:rPr>
          <w:color w:val="auto"/>
        </w:rPr>
      </w:pPr>
      <w:r w:rsidRPr="008F47FB">
        <w:rPr>
          <w:color w:val="auto"/>
        </w:rPr>
        <w:t xml:space="preserve">Spend against the total budget </w:t>
      </w:r>
      <w:r w:rsidR="006479E8" w:rsidRPr="008F47FB">
        <w:rPr>
          <w:color w:val="auto"/>
        </w:rPr>
        <w:t>in the period April to</w:t>
      </w:r>
      <w:r w:rsidRPr="008F47FB">
        <w:rPr>
          <w:color w:val="auto"/>
        </w:rPr>
        <w:t xml:space="preserve"> </w:t>
      </w:r>
      <w:r w:rsidR="006479E8" w:rsidRPr="008F47FB">
        <w:rPr>
          <w:color w:val="auto"/>
        </w:rPr>
        <w:t>June</w:t>
      </w:r>
      <w:r w:rsidRPr="008F47FB">
        <w:rPr>
          <w:color w:val="auto"/>
        </w:rPr>
        <w:t xml:space="preserve"> 202</w:t>
      </w:r>
      <w:r w:rsidR="006479E8" w:rsidRPr="008F47FB">
        <w:rPr>
          <w:color w:val="auto"/>
        </w:rPr>
        <w:t>5</w:t>
      </w:r>
      <w:r w:rsidRPr="008F47FB">
        <w:rPr>
          <w:color w:val="auto"/>
        </w:rPr>
        <w:t xml:space="preserve"> </w:t>
      </w:r>
      <w:r w:rsidR="006479E8" w:rsidRPr="008F47FB">
        <w:rPr>
          <w:color w:val="auto"/>
        </w:rPr>
        <w:t xml:space="preserve">(Q1) </w:t>
      </w:r>
      <w:r w:rsidRPr="008F47FB">
        <w:rPr>
          <w:color w:val="auto"/>
        </w:rPr>
        <w:t>is £</w:t>
      </w:r>
      <w:r w:rsidR="006479E8" w:rsidRPr="008F47FB">
        <w:rPr>
          <w:color w:val="auto"/>
        </w:rPr>
        <w:t>22.7</w:t>
      </w:r>
      <w:r w:rsidR="008F2FDD" w:rsidRPr="008F47FB">
        <w:rPr>
          <w:color w:val="auto"/>
        </w:rPr>
        <w:t>m</w:t>
      </w:r>
      <w:r w:rsidRPr="008F47FB">
        <w:rPr>
          <w:color w:val="auto"/>
        </w:rPr>
        <w:t xml:space="preserve"> in total, which </w:t>
      </w:r>
      <w:r w:rsidR="006479E8" w:rsidRPr="008F47FB">
        <w:rPr>
          <w:color w:val="auto"/>
        </w:rPr>
        <w:t>represents 10%</w:t>
      </w:r>
      <w:r w:rsidRPr="008F47FB">
        <w:rPr>
          <w:color w:val="auto"/>
        </w:rPr>
        <w:t xml:space="preserve"> of the latest budget</w:t>
      </w:r>
      <w:r w:rsidR="006479E8" w:rsidRPr="008F47FB">
        <w:rPr>
          <w:color w:val="auto"/>
        </w:rPr>
        <w:t>, 19% being GF and 6% HRA.</w:t>
      </w:r>
      <w:r w:rsidR="006D287F" w:rsidRPr="008F47FB">
        <w:rPr>
          <w:color w:val="auto"/>
        </w:rPr>
        <w:t xml:space="preserve"> The forecast outturn variance is £11.1m due to forecast slippage.</w:t>
      </w:r>
    </w:p>
    <w:p w14:paraId="663C0559" w14:textId="54CA07B7" w:rsidR="001C2815" w:rsidRPr="006479E8" w:rsidRDefault="006479E8" w:rsidP="00EC2D99">
      <w:pPr>
        <w:ind w:left="284"/>
        <w:rPr>
          <w:color w:val="auto"/>
          <w:sz w:val="16"/>
          <w:szCs w:val="16"/>
        </w:rPr>
      </w:pPr>
      <w:r w:rsidRPr="006479E8">
        <w:rPr>
          <w:noProof/>
        </w:rPr>
        <w:drawing>
          <wp:inline distT="0" distB="0" distL="0" distR="0" wp14:anchorId="77AB7979" wp14:editId="2F85769A">
            <wp:extent cx="5884404" cy="1007525"/>
            <wp:effectExtent l="0" t="0" r="2540" b="2540"/>
            <wp:docPr id="2437318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6771" cy="1014779"/>
                    </a:xfrm>
                    <a:prstGeom prst="rect">
                      <a:avLst/>
                    </a:prstGeom>
                    <a:noFill/>
                    <a:ln>
                      <a:noFill/>
                    </a:ln>
                  </pic:spPr>
                </pic:pic>
              </a:graphicData>
            </a:graphic>
          </wp:inline>
        </w:drawing>
      </w:r>
    </w:p>
    <w:p w14:paraId="2D92DF85" w14:textId="3F71FC1E" w:rsidR="00107566" w:rsidRPr="001956F9" w:rsidRDefault="00107566" w:rsidP="00EC2D99">
      <w:pPr>
        <w:pStyle w:val="ListParagraph"/>
        <w:ind w:left="284"/>
        <w:rPr>
          <w:color w:val="auto"/>
          <w:sz w:val="16"/>
          <w:szCs w:val="16"/>
        </w:rPr>
      </w:pPr>
      <w:r w:rsidRPr="001956F9">
        <w:rPr>
          <w:color w:val="auto"/>
          <w:sz w:val="16"/>
          <w:szCs w:val="16"/>
        </w:rPr>
        <w:t>Fig</w:t>
      </w:r>
      <w:r>
        <w:rPr>
          <w:color w:val="auto"/>
          <w:sz w:val="16"/>
          <w:szCs w:val="16"/>
        </w:rPr>
        <w:t>.</w:t>
      </w:r>
      <w:r w:rsidRPr="001956F9">
        <w:rPr>
          <w:color w:val="auto"/>
          <w:sz w:val="16"/>
          <w:szCs w:val="16"/>
        </w:rPr>
        <w:t>1</w:t>
      </w:r>
    </w:p>
    <w:p w14:paraId="7D3982BB" w14:textId="77777777" w:rsidR="00415FA3" w:rsidRDefault="00415FA3" w:rsidP="00107566">
      <w:pPr>
        <w:rPr>
          <w:b/>
          <w:bCs/>
          <w:color w:val="auto"/>
        </w:rPr>
      </w:pPr>
    </w:p>
    <w:p w14:paraId="6C3DA816" w14:textId="383C5299" w:rsidR="00107566" w:rsidRPr="00291CF3" w:rsidRDefault="00107566" w:rsidP="00107566">
      <w:pPr>
        <w:rPr>
          <w:b/>
          <w:bCs/>
          <w:color w:val="auto"/>
        </w:rPr>
      </w:pPr>
      <w:r w:rsidRPr="14BF4969">
        <w:rPr>
          <w:b/>
          <w:bCs/>
          <w:color w:val="auto"/>
        </w:rPr>
        <w:t>General Fund Capital</w:t>
      </w:r>
    </w:p>
    <w:p w14:paraId="14665758" w14:textId="3E75E5F0" w:rsidR="00107566" w:rsidRPr="00AD7C78" w:rsidRDefault="00107566" w:rsidP="00EC2D99">
      <w:pPr>
        <w:pStyle w:val="ListParagraph"/>
        <w:numPr>
          <w:ilvl w:val="0"/>
          <w:numId w:val="5"/>
        </w:numPr>
        <w:ind w:left="851" w:hanging="567"/>
        <w:rPr>
          <w:color w:val="auto"/>
        </w:rPr>
      </w:pPr>
      <w:r w:rsidRPr="00537422">
        <w:rPr>
          <w:color w:val="auto"/>
        </w:rPr>
        <w:t xml:space="preserve">A summary of the General Fund schemes by project type is shown below </w:t>
      </w:r>
      <w:r>
        <w:rPr>
          <w:color w:val="auto"/>
        </w:rPr>
        <w:t xml:space="preserve">in Fig.2 </w:t>
      </w:r>
      <w:r w:rsidRPr="00537422">
        <w:rPr>
          <w:color w:val="auto"/>
        </w:rPr>
        <w:t>and this provides an insight into the value and range of projects that the Council is under</w:t>
      </w:r>
      <w:r w:rsidR="008F47FB">
        <w:rPr>
          <w:color w:val="auto"/>
        </w:rPr>
        <w:t>taking</w:t>
      </w:r>
      <w:r w:rsidRPr="00537422">
        <w:rPr>
          <w:color w:val="auto"/>
        </w:rPr>
        <w:t xml:space="preserve">. It also highlights that </w:t>
      </w:r>
      <w:r w:rsidR="008F47FB">
        <w:rPr>
          <w:color w:val="auto"/>
        </w:rPr>
        <w:t xml:space="preserve">approximately </w:t>
      </w:r>
      <w:r w:rsidRPr="00537422">
        <w:rPr>
          <w:color w:val="auto"/>
        </w:rPr>
        <w:t>1</w:t>
      </w:r>
      <w:r w:rsidR="008F47FB">
        <w:rPr>
          <w:color w:val="auto"/>
        </w:rPr>
        <w:t>3</w:t>
      </w:r>
      <w:r w:rsidR="00AA3702">
        <w:rPr>
          <w:color w:val="auto"/>
        </w:rPr>
        <w:t>%</w:t>
      </w:r>
      <w:r w:rsidRPr="00537422">
        <w:rPr>
          <w:color w:val="auto"/>
        </w:rPr>
        <w:t xml:space="preserve"> of the capital programme relates to Housing Company Loans of which the spend is reliant on the progress of the Housing company development programme.  </w:t>
      </w:r>
    </w:p>
    <w:p w14:paraId="746EA155" w14:textId="262461A7" w:rsidR="00AA3702" w:rsidRDefault="008F47FB" w:rsidP="005369EA">
      <w:pPr>
        <w:pStyle w:val="ListParagraph"/>
        <w:ind w:left="284"/>
        <w:rPr>
          <w:color w:val="auto"/>
          <w:sz w:val="16"/>
          <w:szCs w:val="16"/>
        </w:rPr>
      </w:pPr>
      <w:r w:rsidRPr="008F47FB">
        <w:rPr>
          <w:noProof/>
        </w:rPr>
        <w:drawing>
          <wp:inline distT="0" distB="0" distL="0" distR="0" wp14:anchorId="20B30E9E" wp14:editId="0D1161B5">
            <wp:extent cx="5904230" cy="1888490"/>
            <wp:effectExtent l="0" t="0" r="1270" b="0"/>
            <wp:docPr id="19218850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4230" cy="1888490"/>
                    </a:xfrm>
                    <a:prstGeom prst="rect">
                      <a:avLst/>
                    </a:prstGeom>
                    <a:noFill/>
                    <a:ln>
                      <a:noFill/>
                    </a:ln>
                  </pic:spPr>
                </pic:pic>
              </a:graphicData>
            </a:graphic>
          </wp:inline>
        </w:drawing>
      </w:r>
    </w:p>
    <w:p w14:paraId="63F582FB" w14:textId="7754347D" w:rsidR="00107566" w:rsidRPr="001956F9" w:rsidRDefault="00107566" w:rsidP="005369EA">
      <w:pPr>
        <w:pStyle w:val="ListParagraph"/>
        <w:ind w:left="284"/>
        <w:rPr>
          <w:color w:val="auto"/>
          <w:sz w:val="16"/>
          <w:szCs w:val="16"/>
        </w:rPr>
      </w:pPr>
      <w:r w:rsidRPr="001956F9">
        <w:rPr>
          <w:color w:val="auto"/>
          <w:sz w:val="16"/>
          <w:szCs w:val="16"/>
        </w:rPr>
        <w:t>Fig</w:t>
      </w:r>
      <w:r>
        <w:rPr>
          <w:color w:val="auto"/>
          <w:sz w:val="16"/>
          <w:szCs w:val="16"/>
        </w:rPr>
        <w:t>.2</w:t>
      </w:r>
    </w:p>
    <w:p w14:paraId="5CAECF38" w14:textId="7A887BFF" w:rsidR="00107566" w:rsidRPr="00953D10" w:rsidRDefault="00107566" w:rsidP="00B37A6D">
      <w:pPr>
        <w:pStyle w:val="ListParagraph"/>
        <w:numPr>
          <w:ilvl w:val="0"/>
          <w:numId w:val="5"/>
        </w:numPr>
        <w:ind w:left="851" w:hanging="567"/>
        <w:rPr>
          <w:color w:val="auto"/>
        </w:rPr>
      </w:pPr>
      <w:r w:rsidRPr="00AD7C78">
        <w:rPr>
          <w:color w:val="auto"/>
        </w:rPr>
        <w:t xml:space="preserve">Overall, </w:t>
      </w:r>
      <w:r w:rsidR="008F47FB">
        <w:rPr>
          <w:color w:val="auto"/>
        </w:rPr>
        <w:t>19</w:t>
      </w:r>
      <w:r w:rsidRPr="00AD7C78">
        <w:rPr>
          <w:color w:val="auto"/>
        </w:rPr>
        <w:t xml:space="preserve">% of the </w:t>
      </w:r>
      <w:r w:rsidR="00EC2C28" w:rsidRPr="00AD7C78">
        <w:rPr>
          <w:color w:val="auto"/>
        </w:rPr>
        <w:t xml:space="preserve">latest </w:t>
      </w:r>
      <w:r w:rsidRPr="00AD7C78">
        <w:rPr>
          <w:color w:val="auto"/>
        </w:rPr>
        <w:t xml:space="preserve">General Fund Capital budget </w:t>
      </w:r>
      <w:r w:rsidR="008F47FB">
        <w:rPr>
          <w:color w:val="auto"/>
        </w:rPr>
        <w:t>or</w:t>
      </w:r>
      <w:r w:rsidR="00EC2C28" w:rsidRPr="00AD7C78">
        <w:rPr>
          <w:color w:val="auto"/>
        </w:rPr>
        <w:t xml:space="preserve"> </w:t>
      </w:r>
      <w:r w:rsidR="008F47FB">
        <w:rPr>
          <w:color w:val="auto"/>
        </w:rPr>
        <w:t>21</w:t>
      </w:r>
      <w:r w:rsidR="009A32CA" w:rsidRPr="00AD7C78">
        <w:rPr>
          <w:color w:val="auto"/>
        </w:rPr>
        <w:t>%</w:t>
      </w:r>
      <w:r w:rsidR="00EC2C28" w:rsidRPr="00AD7C78">
        <w:rPr>
          <w:color w:val="auto"/>
        </w:rPr>
        <w:t xml:space="preserve"> percent of the forecast out</w:t>
      </w:r>
      <w:r w:rsidR="003B6E7E" w:rsidRPr="00AD7C78">
        <w:rPr>
          <w:color w:val="auto"/>
        </w:rPr>
        <w:t>t</w:t>
      </w:r>
      <w:r w:rsidR="00EC2C28" w:rsidRPr="00AD7C78">
        <w:rPr>
          <w:color w:val="auto"/>
        </w:rPr>
        <w:t xml:space="preserve">urn </w:t>
      </w:r>
      <w:r w:rsidRPr="00AD7C78">
        <w:rPr>
          <w:color w:val="auto"/>
        </w:rPr>
        <w:t>has been spent by 3</w:t>
      </w:r>
      <w:r w:rsidR="008F47FB">
        <w:rPr>
          <w:color w:val="auto"/>
        </w:rPr>
        <w:t xml:space="preserve">0 June </w:t>
      </w:r>
      <w:r w:rsidRPr="00AD7C78">
        <w:rPr>
          <w:color w:val="auto"/>
        </w:rPr>
        <w:t>202</w:t>
      </w:r>
      <w:r w:rsidR="008F47FB">
        <w:rPr>
          <w:color w:val="auto"/>
        </w:rPr>
        <w:t>5</w:t>
      </w:r>
      <w:r w:rsidRPr="00AD7C78">
        <w:rPr>
          <w:color w:val="auto"/>
        </w:rPr>
        <w:t xml:space="preserve">. </w:t>
      </w:r>
      <w:r w:rsidRPr="00953D10">
        <w:rPr>
          <w:color w:val="auto"/>
        </w:rPr>
        <w:t xml:space="preserve"> </w:t>
      </w:r>
    </w:p>
    <w:p w14:paraId="395070BC" w14:textId="77777777" w:rsidR="00107566" w:rsidRPr="005B0013" w:rsidRDefault="00107566" w:rsidP="00C66425">
      <w:pPr>
        <w:ind w:left="1418" w:hanging="567"/>
        <w:rPr>
          <w:color w:val="auto"/>
        </w:rPr>
      </w:pPr>
      <w:r w:rsidRPr="005B0013">
        <w:rPr>
          <w:color w:val="auto"/>
          <w:u w:val="single"/>
        </w:rPr>
        <w:t>Project type key budgets</w:t>
      </w:r>
      <w:r w:rsidRPr="005B0013">
        <w:rPr>
          <w:color w:val="auto"/>
        </w:rPr>
        <w:t>:</w:t>
      </w:r>
    </w:p>
    <w:p w14:paraId="5E01AA85" w14:textId="5AF2CB4A" w:rsidR="00107566" w:rsidRPr="00B37A6D" w:rsidRDefault="00107566" w:rsidP="00B37A6D">
      <w:pPr>
        <w:pStyle w:val="ListParagraph"/>
        <w:numPr>
          <w:ilvl w:val="0"/>
          <w:numId w:val="12"/>
        </w:numPr>
        <w:tabs>
          <w:tab w:val="clear" w:pos="426"/>
        </w:tabs>
        <w:ind w:left="1276" w:hanging="490"/>
        <w:rPr>
          <w:color w:val="auto"/>
        </w:rPr>
      </w:pPr>
      <w:r w:rsidRPr="005B0013">
        <w:rPr>
          <w:b/>
          <w:bCs/>
          <w:color w:val="auto"/>
        </w:rPr>
        <w:t>Development</w:t>
      </w:r>
      <w:r w:rsidRPr="00B37A6D">
        <w:rPr>
          <w:b/>
          <w:bCs/>
          <w:color w:val="auto"/>
        </w:rPr>
        <w:t xml:space="preserve"> </w:t>
      </w:r>
      <w:r w:rsidRPr="00B37A6D">
        <w:rPr>
          <w:color w:val="auto"/>
        </w:rPr>
        <w:t xml:space="preserve">– Blackbird Leys Regeneration; East Oxford Community Centre; Covered Market; HIF and Growth Deal </w:t>
      </w:r>
      <w:proofErr w:type="spellStart"/>
      <w:r w:rsidRPr="00B37A6D">
        <w:rPr>
          <w:color w:val="auto"/>
        </w:rPr>
        <w:t>Osney</w:t>
      </w:r>
      <w:proofErr w:type="spellEnd"/>
      <w:r w:rsidRPr="00B37A6D">
        <w:rPr>
          <w:color w:val="auto"/>
        </w:rPr>
        <w:t xml:space="preserve"> Bridge works and </w:t>
      </w:r>
      <w:r w:rsidR="008F47FB" w:rsidRPr="00B37A6D">
        <w:rPr>
          <w:color w:val="auto"/>
        </w:rPr>
        <w:t xml:space="preserve">Path; </w:t>
      </w:r>
      <w:r w:rsidR="00AA5C3C" w:rsidRPr="00B37A6D">
        <w:rPr>
          <w:color w:val="auto"/>
        </w:rPr>
        <w:t xml:space="preserve">Oxford Flood Alleviation Scheme; </w:t>
      </w:r>
      <w:r w:rsidR="008F47FB" w:rsidRPr="00B37A6D">
        <w:rPr>
          <w:color w:val="auto"/>
        </w:rPr>
        <w:t>Town Hall works</w:t>
      </w:r>
    </w:p>
    <w:p w14:paraId="00F7A270" w14:textId="77777777" w:rsidR="00107566" w:rsidRPr="00B37A6D" w:rsidRDefault="00107566" w:rsidP="00B37A6D">
      <w:pPr>
        <w:pStyle w:val="ListParagraph"/>
        <w:numPr>
          <w:ilvl w:val="0"/>
          <w:numId w:val="12"/>
        </w:numPr>
        <w:tabs>
          <w:tab w:val="clear" w:pos="426"/>
        </w:tabs>
        <w:ind w:left="1276" w:hanging="490"/>
        <w:rPr>
          <w:b/>
          <w:bCs/>
          <w:color w:val="auto"/>
        </w:rPr>
      </w:pPr>
      <w:r w:rsidRPr="00243E21">
        <w:rPr>
          <w:b/>
          <w:bCs/>
          <w:color w:val="auto"/>
        </w:rPr>
        <w:t xml:space="preserve">ICT </w:t>
      </w:r>
      <w:r w:rsidRPr="00B37A6D">
        <w:rPr>
          <w:color w:val="auto"/>
        </w:rPr>
        <w:t>– MS365 and Cloud Migration; system upgrades</w:t>
      </w:r>
    </w:p>
    <w:p w14:paraId="371F484D" w14:textId="6DD97318" w:rsidR="00107566" w:rsidRPr="00B37A6D" w:rsidRDefault="00107566" w:rsidP="00B37A6D">
      <w:pPr>
        <w:pStyle w:val="ListParagraph"/>
        <w:numPr>
          <w:ilvl w:val="0"/>
          <w:numId w:val="12"/>
        </w:numPr>
        <w:tabs>
          <w:tab w:val="clear" w:pos="426"/>
        </w:tabs>
        <w:ind w:left="1276" w:hanging="490"/>
        <w:rPr>
          <w:color w:val="auto"/>
        </w:rPr>
      </w:pPr>
      <w:r w:rsidRPr="002B38FF">
        <w:rPr>
          <w:b/>
          <w:bCs/>
          <w:color w:val="auto"/>
        </w:rPr>
        <w:t>Compliance</w:t>
      </w:r>
      <w:r w:rsidRPr="00B37A6D">
        <w:rPr>
          <w:b/>
          <w:bCs/>
          <w:color w:val="auto"/>
        </w:rPr>
        <w:t xml:space="preserve"> </w:t>
      </w:r>
      <w:r w:rsidR="00B60C39" w:rsidRPr="00B37A6D">
        <w:rPr>
          <w:color w:val="auto"/>
        </w:rPr>
        <w:t xml:space="preserve">- </w:t>
      </w:r>
      <w:r w:rsidRPr="00B37A6D">
        <w:rPr>
          <w:color w:val="auto"/>
        </w:rPr>
        <w:t>Gloucester Green CP(H&amp;S); Old Gas Works Bridges &amp; Waterways</w:t>
      </w:r>
    </w:p>
    <w:p w14:paraId="462592DB" w14:textId="3377D8EC" w:rsidR="00107566" w:rsidRPr="00B37A6D" w:rsidRDefault="00107566" w:rsidP="00B37A6D">
      <w:pPr>
        <w:pStyle w:val="ListParagraph"/>
        <w:numPr>
          <w:ilvl w:val="0"/>
          <w:numId w:val="12"/>
        </w:numPr>
        <w:tabs>
          <w:tab w:val="clear" w:pos="426"/>
        </w:tabs>
        <w:ind w:left="1276" w:hanging="490"/>
        <w:rPr>
          <w:color w:val="auto"/>
        </w:rPr>
      </w:pPr>
      <w:r w:rsidRPr="005B0013">
        <w:rPr>
          <w:b/>
          <w:bCs/>
          <w:color w:val="auto"/>
        </w:rPr>
        <w:lastRenderedPageBreak/>
        <w:t>Project Other</w:t>
      </w:r>
      <w:r w:rsidRPr="00B37A6D">
        <w:rPr>
          <w:b/>
          <w:bCs/>
          <w:color w:val="auto"/>
        </w:rPr>
        <w:t xml:space="preserve"> </w:t>
      </w:r>
      <w:r w:rsidRPr="00B37A6D">
        <w:rPr>
          <w:color w:val="auto"/>
        </w:rPr>
        <w:t>– Leisure Invest to Save and Dilap</w:t>
      </w:r>
      <w:r w:rsidR="00846018" w:rsidRPr="00B37A6D">
        <w:rPr>
          <w:color w:val="auto"/>
        </w:rPr>
        <w:t>idation</w:t>
      </w:r>
      <w:r w:rsidRPr="00B37A6D">
        <w:rPr>
          <w:color w:val="auto"/>
        </w:rPr>
        <w:t xml:space="preserve">s </w:t>
      </w:r>
      <w:proofErr w:type="gramStart"/>
      <w:r w:rsidRPr="00B37A6D">
        <w:rPr>
          <w:color w:val="auto"/>
        </w:rPr>
        <w:t>works;</w:t>
      </w:r>
      <w:proofErr w:type="gramEnd"/>
      <w:r w:rsidRPr="00B37A6D">
        <w:rPr>
          <w:color w:val="auto"/>
        </w:rPr>
        <w:t xml:space="preserve"> numerous Capital M&amp;E works on City Centre Portfolio.  </w:t>
      </w:r>
    </w:p>
    <w:p w14:paraId="2A7FBB8B" w14:textId="2EF24926" w:rsidR="00107566" w:rsidRPr="00B37A6D" w:rsidRDefault="00107566" w:rsidP="00B37A6D">
      <w:pPr>
        <w:pStyle w:val="ListParagraph"/>
        <w:numPr>
          <w:ilvl w:val="0"/>
          <w:numId w:val="12"/>
        </w:numPr>
        <w:tabs>
          <w:tab w:val="clear" w:pos="426"/>
        </w:tabs>
        <w:ind w:left="1276" w:hanging="490"/>
        <w:rPr>
          <w:color w:val="auto"/>
        </w:rPr>
      </w:pPr>
      <w:r w:rsidRPr="00243E21">
        <w:rPr>
          <w:b/>
          <w:bCs/>
          <w:color w:val="auto"/>
        </w:rPr>
        <w:t>Rolling Programme</w:t>
      </w:r>
      <w:r w:rsidRPr="00B37A6D">
        <w:rPr>
          <w:b/>
          <w:bCs/>
          <w:color w:val="auto"/>
        </w:rPr>
        <w:t xml:space="preserve"> </w:t>
      </w:r>
      <w:r w:rsidRPr="00B37A6D">
        <w:rPr>
          <w:color w:val="auto"/>
        </w:rPr>
        <w:t xml:space="preserve">– ODS Fleet Replacement Programme; Stock </w:t>
      </w:r>
      <w:r w:rsidR="00846018" w:rsidRPr="00B37A6D">
        <w:rPr>
          <w:color w:val="auto"/>
        </w:rPr>
        <w:t>C</w:t>
      </w:r>
      <w:r w:rsidRPr="00B37A6D">
        <w:rPr>
          <w:color w:val="auto"/>
        </w:rPr>
        <w:t xml:space="preserve">ondition </w:t>
      </w:r>
      <w:r w:rsidR="00846018" w:rsidRPr="00B37A6D">
        <w:rPr>
          <w:color w:val="auto"/>
        </w:rPr>
        <w:t>S</w:t>
      </w:r>
      <w:r w:rsidRPr="00B37A6D">
        <w:rPr>
          <w:color w:val="auto"/>
        </w:rPr>
        <w:t>urveys; Planned Building Maintenance and Energy Efficiency Initiatives</w:t>
      </w:r>
    </w:p>
    <w:p w14:paraId="014A9120" w14:textId="3BF20D15" w:rsidR="00107566" w:rsidRPr="00B37A6D" w:rsidRDefault="00107566" w:rsidP="00B37A6D">
      <w:pPr>
        <w:pStyle w:val="ListParagraph"/>
        <w:numPr>
          <w:ilvl w:val="0"/>
          <w:numId w:val="12"/>
        </w:numPr>
        <w:tabs>
          <w:tab w:val="clear" w:pos="426"/>
        </w:tabs>
        <w:ind w:left="1276" w:hanging="490"/>
        <w:rPr>
          <w:color w:val="auto"/>
        </w:rPr>
      </w:pPr>
      <w:r w:rsidRPr="00B60C39">
        <w:rPr>
          <w:b/>
          <w:bCs/>
          <w:color w:val="auto"/>
        </w:rPr>
        <w:t>Housing Co. Loans</w:t>
      </w:r>
      <w:r w:rsidRPr="00B37A6D">
        <w:rPr>
          <w:b/>
          <w:bCs/>
          <w:color w:val="auto"/>
        </w:rPr>
        <w:t xml:space="preserve"> </w:t>
      </w:r>
      <w:r w:rsidRPr="00B37A6D">
        <w:rPr>
          <w:color w:val="auto"/>
        </w:rPr>
        <w:t xml:space="preserve">– </w:t>
      </w:r>
      <w:r w:rsidR="00846018" w:rsidRPr="00B37A6D">
        <w:rPr>
          <w:color w:val="auto"/>
        </w:rPr>
        <w:t xml:space="preserve">loans to </w:t>
      </w:r>
      <w:proofErr w:type="spellStart"/>
      <w:r w:rsidR="00846018" w:rsidRPr="00B37A6D">
        <w:rPr>
          <w:color w:val="auto"/>
        </w:rPr>
        <w:t>OxPlace</w:t>
      </w:r>
      <w:proofErr w:type="spellEnd"/>
      <w:r w:rsidR="00846018" w:rsidRPr="00B37A6D">
        <w:rPr>
          <w:color w:val="auto"/>
        </w:rPr>
        <w:t xml:space="preserve"> </w:t>
      </w:r>
    </w:p>
    <w:p w14:paraId="7DE8E81E" w14:textId="67403E9A" w:rsidR="001576F7" w:rsidRPr="00846018" w:rsidRDefault="00107566" w:rsidP="00F31675">
      <w:pPr>
        <w:pStyle w:val="ListParagraph"/>
        <w:numPr>
          <w:ilvl w:val="0"/>
          <w:numId w:val="12"/>
        </w:numPr>
        <w:tabs>
          <w:tab w:val="clear" w:pos="426"/>
        </w:tabs>
        <w:ind w:left="1276" w:hanging="490"/>
        <w:rPr>
          <w:color w:val="auto"/>
          <w:u w:val="single"/>
        </w:rPr>
      </w:pPr>
      <w:r w:rsidRPr="00846018">
        <w:rPr>
          <w:b/>
          <w:bCs/>
          <w:color w:val="auto"/>
        </w:rPr>
        <w:t>Other Capital Spend</w:t>
      </w:r>
      <w:r w:rsidRPr="00846018">
        <w:rPr>
          <w:color w:val="auto"/>
        </w:rPr>
        <w:t xml:space="preserve"> </w:t>
      </w:r>
      <w:r w:rsidR="00B60C39">
        <w:rPr>
          <w:color w:val="auto"/>
        </w:rPr>
        <w:t>-</w:t>
      </w:r>
      <w:r w:rsidRPr="00846018">
        <w:rPr>
          <w:color w:val="auto"/>
        </w:rPr>
        <w:t xml:space="preserve"> inc</w:t>
      </w:r>
      <w:r w:rsidR="00846018" w:rsidRPr="00846018">
        <w:rPr>
          <w:color w:val="auto"/>
        </w:rPr>
        <w:t>l</w:t>
      </w:r>
      <w:r w:rsidRPr="00846018">
        <w:rPr>
          <w:color w:val="auto"/>
        </w:rPr>
        <w:t xml:space="preserve">udes </w:t>
      </w:r>
      <w:proofErr w:type="spellStart"/>
      <w:r w:rsidR="00846018" w:rsidRPr="00846018">
        <w:rPr>
          <w:color w:val="auto"/>
        </w:rPr>
        <w:t>OxWED</w:t>
      </w:r>
      <w:proofErr w:type="spellEnd"/>
      <w:r w:rsidR="00846018" w:rsidRPr="00846018">
        <w:rPr>
          <w:color w:val="auto"/>
        </w:rPr>
        <w:t xml:space="preserve"> loans</w:t>
      </w:r>
      <w:r w:rsidRPr="00846018">
        <w:rPr>
          <w:color w:val="auto"/>
        </w:rPr>
        <w:t>; Cowley Branch Line; Affordable Housing Supply</w:t>
      </w:r>
      <w:r w:rsidR="00846018" w:rsidRPr="00846018">
        <w:rPr>
          <w:color w:val="auto"/>
        </w:rPr>
        <w:t xml:space="preserve">; Disabled Facilities Grant </w:t>
      </w:r>
      <w:r w:rsidRPr="00846018">
        <w:rPr>
          <w:color w:val="auto"/>
        </w:rPr>
        <w:t xml:space="preserve">and </w:t>
      </w:r>
      <w:r w:rsidR="00846018" w:rsidRPr="00846018">
        <w:rPr>
          <w:color w:val="auto"/>
        </w:rPr>
        <w:t>Capitalised Salaries budget</w:t>
      </w:r>
      <w:r w:rsidR="00846018">
        <w:rPr>
          <w:color w:val="auto"/>
        </w:rPr>
        <w:t>.</w:t>
      </w:r>
    </w:p>
    <w:p w14:paraId="59014F8E" w14:textId="77777777" w:rsidR="00846018" w:rsidRPr="00846018" w:rsidRDefault="00846018" w:rsidP="00A764BE">
      <w:pPr>
        <w:spacing w:after="0"/>
        <w:ind w:left="788"/>
        <w:rPr>
          <w:color w:val="auto"/>
          <w:u w:val="single"/>
        </w:rPr>
      </w:pPr>
    </w:p>
    <w:p w14:paraId="43D878BB" w14:textId="721E0EBC" w:rsidR="00107566" w:rsidRPr="006A6BF4" w:rsidRDefault="00107566" w:rsidP="00A764BE">
      <w:pPr>
        <w:ind w:left="1276" w:hanging="488"/>
        <w:rPr>
          <w:color w:val="auto"/>
          <w:u w:val="single"/>
        </w:rPr>
      </w:pPr>
      <w:r w:rsidRPr="00C71270">
        <w:rPr>
          <w:color w:val="auto"/>
          <w:u w:val="single"/>
        </w:rPr>
        <w:t xml:space="preserve">Key Budget Re-profile changes and </w:t>
      </w:r>
      <w:r>
        <w:rPr>
          <w:color w:val="auto"/>
          <w:u w:val="single"/>
        </w:rPr>
        <w:t xml:space="preserve">Forecast </w:t>
      </w:r>
      <w:r w:rsidRPr="00C71270">
        <w:rPr>
          <w:color w:val="auto"/>
          <w:u w:val="single"/>
        </w:rPr>
        <w:t xml:space="preserve">slippages </w:t>
      </w:r>
      <w:r>
        <w:rPr>
          <w:color w:val="auto"/>
          <w:u w:val="single"/>
        </w:rPr>
        <w:t>at</w:t>
      </w:r>
      <w:r w:rsidRPr="00C71270">
        <w:rPr>
          <w:color w:val="auto"/>
          <w:u w:val="single"/>
        </w:rPr>
        <w:t xml:space="preserve"> Q</w:t>
      </w:r>
      <w:r w:rsidR="001576F7">
        <w:rPr>
          <w:color w:val="auto"/>
          <w:u w:val="single"/>
        </w:rPr>
        <w:t>1</w:t>
      </w:r>
      <w:r w:rsidRPr="00C71270">
        <w:rPr>
          <w:color w:val="auto"/>
          <w:u w:val="single"/>
        </w:rPr>
        <w:t xml:space="preserve"> include</w:t>
      </w:r>
      <w:r w:rsidRPr="006A6BF4">
        <w:rPr>
          <w:color w:val="auto"/>
          <w:u w:val="single"/>
        </w:rPr>
        <w:t>:</w:t>
      </w:r>
    </w:p>
    <w:p w14:paraId="0C6EACBD" w14:textId="0E267250" w:rsidR="00BC04CF" w:rsidRPr="00BC04CF" w:rsidRDefault="00BC04CF" w:rsidP="006A6BF4">
      <w:pPr>
        <w:pStyle w:val="ListParagraph"/>
        <w:numPr>
          <w:ilvl w:val="0"/>
          <w:numId w:val="12"/>
        </w:numPr>
        <w:tabs>
          <w:tab w:val="clear" w:pos="426"/>
        </w:tabs>
        <w:ind w:left="1276" w:hanging="490"/>
      </w:pPr>
      <w:proofErr w:type="spellStart"/>
      <w:r w:rsidRPr="00BC04CF">
        <w:rPr>
          <w:b/>
          <w:bCs/>
        </w:rPr>
        <w:t>Osney</w:t>
      </w:r>
      <w:proofErr w:type="spellEnd"/>
      <w:r w:rsidRPr="00BC04CF">
        <w:rPr>
          <w:b/>
          <w:bCs/>
        </w:rPr>
        <w:t xml:space="preserve"> Mead </w:t>
      </w:r>
      <w:r w:rsidR="005D77D6">
        <w:rPr>
          <w:b/>
          <w:bCs/>
        </w:rPr>
        <w:t xml:space="preserve">Bridge and </w:t>
      </w:r>
      <w:r w:rsidRPr="00BC04CF">
        <w:rPr>
          <w:b/>
          <w:bCs/>
        </w:rPr>
        <w:t>Path Works</w:t>
      </w:r>
      <w:r>
        <w:t xml:space="preserve"> – </w:t>
      </w:r>
      <w:r w:rsidR="00F55EA5">
        <w:t>HIF and Growth Deal funded. S</w:t>
      </w:r>
      <w:r>
        <w:t>lippage of £</w:t>
      </w:r>
      <w:r w:rsidR="005D77D6">
        <w:t>5.97</w:t>
      </w:r>
      <w:r>
        <w:t>m forecast for 2025/26 due to delays associated with the judicial review. Site works are forecast to commence in early 2026.</w:t>
      </w:r>
    </w:p>
    <w:p w14:paraId="2B2C31A8" w14:textId="77777777" w:rsidR="005D77D6" w:rsidRPr="00BC04CF" w:rsidRDefault="005D77D6" w:rsidP="005D77D6">
      <w:pPr>
        <w:pStyle w:val="ListParagraph"/>
        <w:numPr>
          <w:ilvl w:val="0"/>
          <w:numId w:val="12"/>
        </w:numPr>
        <w:tabs>
          <w:tab w:val="clear" w:pos="426"/>
        </w:tabs>
        <w:ind w:left="1276" w:hanging="490"/>
      </w:pPr>
      <w:r w:rsidRPr="00BC04CF">
        <w:rPr>
          <w:b/>
          <w:bCs/>
        </w:rPr>
        <w:t>Energy Efficiency Initiatives</w:t>
      </w:r>
      <w:r>
        <w:t xml:space="preserve"> - £1.096m slippage forecast for 2025/26 due to delivery pushed back into future years.</w:t>
      </w:r>
    </w:p>
    <w:p w14:paraId="4ECD9A88" w14:textId="54A60224" w:rsidR="00BC04CF" w:rsidRPr="00BC04CF" w:rsidRDefault="00BC04CF" w:rsidP="006A6BF4">
      <w:pPr>
        <w:pStyle w:val="ListParagraph"/>
        <w:numPr>
          <w:ilvl w:val="0"/>
          <w:numId w:val="12"/>
        </w:numPr>
        <w:tabs>
          <w:tab w:val="clear" w:pos="426"/>
        </w:tabs>
        <w:ind w:left="1276" w:hanging="490"/>
      </w:pPr>
      <w:r w:rsidRPr="00BC04CF">
        <w:rPr>
          <w:b/>
          <w:bCs/>
        </w:rPr>
        <w:t>New Burial Space</w:t>
      </w:r>
      <w:r>
        <w:t xml:space="preserve"> - £0.8m slippage forecast for 2025/26 due to extended timescales of Environment Agency and Highways to remove their objections to enable approval of planning application for change of use of land. This is necessary to allow more than 100 burials per year on the land.</w:t>
      </w:r>
    </w:p>
    <w:p w14:paraId="06B8220D" w14:textId="58417821" w:rsidR="00E53FA9" w:rsidRPr="00E53FA9" w:rsidRDefault="00E53FA9" w:rsidP="006A6BF4">
      <w:pPr>
        <w:pStyle w:val="ListParagraph"/>
        <w:numPr>
          <w:ilvl w:val="0"/>
          <w:numId w:val="12"/>
        </w:numPr>
        <w:tabs>
          <w:tab w:val="clear" w:pos="426"/>
        </w:tabs>
        <w:ind w:left="1276" w:hanging="490"/>
      </w:pPr>
      <w:r w:rsidRPr="00E53FA9">
        <w:rPr>
          <w:b/>
          <w:bCs/>
        </w:rPr>
        <w:t xml:space="preserve">Bridge </w:t>
      </w:r>
      <w:r w:rsidR="00BC04CF">
        <w:rPr>
          <w:b/>
          <w:bCs/>
        </w:rPr>
        <w:t>I</w:t>
      </w:r>
      <w:r w:rsidRPr="00E53FA9">
        <w:rPr>
          <w:b/>
          <w:bCs/>
        </w:rPr>
        <w:t xml:space="preserve">nvestment </w:t>
      </w:r>
      <w:r w:rsidR="00BC04CF">
        <w:rPr>
          <w:b/>
          <w:bCs/>
        </w:rPr>
        <w:t>W</w:t>
      </w:r>
      <w:r w:rsidRPr="00E53FA9">
        <w:rPr>
          <w:b/>
          <w:bCs/>
        </w:rPr>
        <w:t>ork</w:t>
      </w:r>
      <w:r w:rsidRPr="00E53FA9">
        <w:t xml:space="preserve"> - £0.614 slippage in 2025/26 forecast with work being pushed back to 2026/27. The initial study on the Gas Works Railway bridge is expected in 2025/26.</w:t>
      </w:r>
    </w:p>
    <w:p w14:paraId="176F5148" w14:textId="07DA6DE5" w:rsidR="00F6379C" w:rsidRPr="00A764BE" w:rsidRDefault="00F6379C" w:rsidP="006A6BF4">
      <w:pPr>
        <w:pStyle w:val="ListParagraph"/>
        <w:numPr>
          <w:ilvl w:val="0"/>
          <w:numId w:val="12"/>
        </w:numPr>
        <w:tabs>
          <w:tab w:val="clear" w:pos="426"/>
        </w:tabs>
        <w:ind w:left="1276" w:hanging="490"/>
      </w:pPr>
      <w:r w:rsidRPr="00A764BE">
        <w:rPr>
          <w:b/>
          <w:bCs/>
        </w:rPr>
        <w:t>Disabled Facilities Grant</w:t>
      </w:r>
      <w:r w:rsidRPr="00A764BE">
        <w:t xml:space="preserve"> – pressure of £0.597m forecast to be funded by increased Government Grant for </w:t>
      </w:r>
      <w:r w:rsidR="00A764BE" w:rsidRPr="00A764BE">
        <w:t>20</w:t>
      </w:r>
      <w:r w:rsidRPr="00A764BE">
        <w:t>25/26. Budget to be increased upon confirmation of grant</w:t>
      </w:r>
      <w:r w:rsidR="00A764BE" w:rsidRPr="00A764BE">
        <w:t xml:space="preserve">; all monies have been </w:t>
      </w:r>
      <w:r w:rsidR="00B60C39" w:rsidRPr="00A764BE">
        <w:t>received in July 2025</w:t>
      </w:r>
      <w:r w:rsidRPr="00A764BE">
        <w:t xml:space="preserve">. </w:t>
      </w:r>
    </w:p>
    <w:p w14:paraId="008649B7" w14:textId="67ECDF24" w:rsidR="00AC3160" w:rsidRPr="00A764BE" w:rsidRDefault="00AC3160" w:rsidP="00AC3160">
      <w:pPr>
        <w:pStyle w:val="ListParagraph"/>
        <w:numPr>
          <w:ilvl w:val="0"/>
          <w:numId w:val="12"/>
        </w:numPr>
        <w:tabs>
          <w:tab w:val="clear" w:pos="426"/>
        </w:tabs>
        <w:ind w:left="1276" w:hanging="490"/>
      </w:pPr>
      <w:r w:rsidRPr="00A764BE">
        <w:rPr>
          <w:b/>
          <w:bCs/>
        </w:rPr>
        <w:t xml:space="preserve">Covered Market </w:t>
      </w:r>
      <w:r w:rsidRPr="00A764BE">
        <w:t xml:space="preserve">- £0.353m slippage in latest 2025/26 forecast. </w:t>
      </w:r>
      <w:proofErr w:type="gramStart"/>
      <w:r w:rsidRPr="00A764BE">
        <w:t>Extended  design</w:t>
      </w:r>
      <w:proofErr w:type="gramEnd"/>
      <w:r w:rsidRPr="00A764BE">
        <w:t xml:space="preserve"> work requires additional survey works</w:t>
      </w:r>
      <w:r w:rsidR="00A764BE" w:rsidRPr="00A764BE">
        <w:t xml:space="preserve"> however this is being accommodated withing the existing project budget</w:t>
      </w:r>
      <w:r w:rsidRPr="00A764BE">
        <w:t xml:space="preserve">. </w:t>
      </w:r>
    </w:p>
    <w:p w14:paraId="3CF30DAD" w14:textId="6386921C" w:rsidR="00AC3160" w:rsidRPr="00A764BE" w:rsidRDefault="00AC3160" w:rsidP="00AC3160">
      <w:pPr>
        <w:pStyle w:val="ListParagraph"/>
        <w:numPr>
          <w:ilvl w:val="0"/>
          <w:numId w:val="12"/>
        </w:numPr>
        <w:tabs>
          <w:tab w:val="clear" w:pos="426"/>
        </w:tabs>
        <w:ind w:left="1276" w:hanging="490"/>
      </w:pPr>
      <w:r w:rsidRPr="00A764BE">
        <w:rPr>
          <w:b/>
          <w:bCs/>
        </w:rPr>
        <w:t xml:space="preserve">Stock Condition Surveys </w:t>
      </w:r>
      <w:r w:rsidRPr="00A764BE">
        <w:t xml:space="preserve">- £0.339m slippage forecast for 2025/26 due to delays carrying out some surveys. </w:t>
      </w:r>
    </w:p>
    <w:p w14:paraId="7929290B" w14:textId="26A33FC5" w:rsidR="00B7590C" w:rsidRPr="00A764BE" w:rsidRDefault="00107566" w:rsidP="006A6BF4">
      <w:pPr>
        <w:pStyle w:val="ListParagraph"/>
        <w:numPr>
          <w:ilvl w:val="0"/>
          <w:numId w:val="12"/>
        </w:numPr>
        <w:tabs>
          <w:tab w:val="clear" w:pos="426"/>
        </w:tabs>
        <w:ind w:left="1276" w:hanging="490"/>
      </w:pPr>
      <w:r w:rsidRPr="00A764BE">
        <w:rPr>
          <w:b/>
          <w:bCs/>
        </w:rPr>
        <w:t xml:space="preserve">Town Hall Works </w:t>
      </w:r>
      <w:r w:rsidRPr="00A764BE">
        <w:t xml:space="preserve">– A </w:t>
      </w:r>
      <w:r w:rsidR="00F62FF9" w:rsidRPr="00A764BE">
        <w:t>pressure of £0.317m due to an increased programme of works expected for 2025/26</w:t>
      </w:r>
      <w:r w:rsidR="00A764BE" w:rsidRPr="00A764BE">
        <w:t>, for example façade and ceilings. The project budget will be reprofiled.</w:t>
      </w:r>
    </w:p>
    <w:p w14:paraId="384E91C4" w14:textId="44F97A19" w:rsidR="00AC3160" w:rsidRDefault="00AC3160" w:rsidP="006A6BF4">
      <w:pPr>
        <w:pStyle w:val="ListParagraph"/>
        <w:numPr>
          <w:ilvl w:val="0"/>
          <w:numId w:val="12"/>
        </w:numPr>
        <w:tabs>
          <w:tab w:val="clear" w:pos="426"/>
        </w:tabs>
        <w:ind w:left="1276" w:hanging="490"/>
      </w:pPr>
      <w:r w:rsidRPr="00AC3160">
        <w:rPr>
          <w:b/>
          <w:bCs/>
        </w:rPr>
        <w:t>St. Michael</w:t>
      </w:r>
      <w:r>
        <w:rPr>
          <w:b/>
          <w:bCs/>
        </w:rPr>
        <w:t>’</w:t>
      </w:r>
      <w:r w:rsidRPr="00AC3160">
        <w:rPr>
          <w:b/>
          <w:bCs/>
        </w:rPr>
        <w:t>s Street Levelling Works</w:t>
      </w:r>
      <w:r w:rsidRPr="00AC3160">
        <w:t xml:space="preserve"> - £0.29m pressure </w:t>
      </w:r>
      <w:r>
        <w:t xml:space="preserve">estimated for 2025/26 </w:t>
      </w:r>
      <w:r w:rsidRPr="00AC3160">
        <w:t>with final edge works being completed and valuation/safety audit to follow.</w:t>
      </w:r>
    </w:p>
    <w:p w14:paraId="42026531" w14:textId="30998649" w:rsidR="00AC3160" w:rsidRPr="00AC3160" w:rsidRDefault="00AC3160" w:rsidP="00A764BE">
      <w:pPr>
        <w:pStyle w:val="ListParagraph"/>
        <w:numPr>
          <w:ilvl w:val="0"/>
          <w:numId w:val="12"/>
        </w:numPr>
        <w:tabs>
          <w:tab w:val="clear" w:pos="426"/>
        </w:tabs>
        <w:ind w:left="1276" w:hanging="488"/>
      </w:pPr>
      <w:r>
        <w:rPr>
          <w:b/>
          <w:bCs/>
        </w:rPr>
        <w:t xml:space="preserve">Broad Street roofing and Façade project </w:t>
      </w:r>
      <w:r w:rsidRPr="00AC3160">
        <w:t>-</w:t>
      </w:r>
      <w:r>
        <w:t xml:space="preserve"> £0.252m slippage forecast for 2025/26 due to delays in the procurement process.</w:t>
      </w:r>
    </w:p>
    <w:p w14:paraId="190FAC7F" w14:textId="77777777" w:rsidR="00107566" w:rsidRDefault="00107566" w:rsidP="00A764BE">
      <w:pPr>
        <w:pStyle w:val="ListParagraph"/>
        <w:tabs>
          <w:tab w:val="clear" w:pos="426"/>
          <w:tab w:val="left" w:pos="1701"/>
        </w:tabs>
        <w:spacing w:after="0"/>
        <w:ind w:left="709"/>
        <w:rPr>
          <w:highlight w:val="yellow"/>
        </w:rPr>
      </w:pPr>
    </w:p>
    <w:p w14:paraId="0959482D" w14:textId="4959C838" w:rsidR="00107566" w:rsidRPr="0062796A" w:rsidRDefault="00107566" w:rsidP="00AD7C78">
      <w:pPr>
        <w:pStyle w:val="Heading1"/>
        <w:spacing w:before="0"/>
        <w:rPr>
          <w:color w:val="auto"/>
        </w:rPr>
      </w:pPr>
      <w:r w:rsidRPr="00395144">
        <w:rPr>
          <w:color w:val="auto"/>
        </w:rPr>
        <w:t>HRA</w:t>
      </w:r>
      <w:r w:rsidR="00415FA3">
        <w:rPr>
          <w:color w:val="auto"/>
        </w:rPr>
        <w:t xml:space="preserve"> Capital</w:t>
      </w:r>
    </w:p>
    <w:p w14:paraId="41329720" w14:textId="3BC8779B" w:rsidR="00107566" w:rsidRPr="00927F20" w:rsidRDefault="00107566" w:rsidP="00C66425">
      <w:pPr>
        <w:pStyle w:val="ListParagraph"/>
        <w:numPr>
          <w:ilvl w:val="0"/>
          <w:numId w:val="5"/>
        </w:numPr>
        <w:tabs>
          <w:tab w:val="clear" w:pos="426"/>
        </w:tabs>
        <w:ind w:left="851" w:hanging="567"/>
        <w:rPr>
          <w:color w:val="auto"/>
        </w:rPr>
      </w:pPr>
      <w:r w:rsidRPr="005C7249">
        <w:rPr>
          <w:color w:val="auto"/>
        </w:rPr>
        <w:t>A summary of the HRA schemes by project type is shown in Fig.3 below</w:t>
      </w:r>
      <w:r w:rsidR="00F02AE0">
        <w:rPr>
          <w:color w:val="auto"/>
        </w:rPr>
        <w:t>. T</w:t>
      </w:r>
      <w:r w:rsidRPr="005C7249">
        <w:rPr>
          <w:color w:val="auto"/>
        </w:rPr>
        <w:t>his shows</w:t>
      </w:r>
      <w:r w:rsidR="00F02AE0">
        <w:rPr>
          <w:color w:val="auto"/>
        </w:rPr>
        <w:t xml:space="preserve"> that the </w:t>
      </w:r>
      <w:r w:rsidR="00F02AE0" w:rsidRPr="005C7249">
        <w:rPr>
          <w:color w:val="auto"/>
        </w:rPr>
        <w:t xml:space="preserve">significant element </w:t>
      </w:r>
      <w:r w:rsidR="00F02AE0">
        <w:rPr>
          <w:color w:val="auto"/>
        </w:rPr>
        <w:t xml:space="preserve">(55%) </w:t>
      </w:r>
      <w:r w:rsidR="00F02AE0" w:rsidRPr="005C7249">
        <w:rPr>
          <w:color w:val="auto"/>
        </w:rPr>
        <w:t xml:space="preserve">of the HRA capital programme is the </w:t>
      </w:r>
      <w:r w:rsidR="00F02AE0" w:rsidRPr="005C7249">
        <w:rPr>
          <w:color w:val="auto"/>
        </w:rPr>
        <w:lastRenderedPageBreak/>
        <w:t>Other Capital Spend classification</w:t>
      </w:r>
      <w:r w:rsidR="00F02AE0">
        <w:rPr>
          <w:color w:val="auto"/>
        </w:rPr>
        <w:t>; t</w:t>
      </w:r>
      <w:r w:rsidR="00F02AE0" w:rsidRPr="005C7249">
        <w:rPr>
          <w:color w:val="auto"/>
        </w:rPr>
        <w:t xml:space="preserve">hese schemes relate to </w:t>
      </w:r>
      <w:r w:rsidR="00F02AE0">
        <w:rPr>
          <w:color w:val="auto"/>
        </w:rPr>
        <w:t xml:space="preserve">housing </w:t>
      </w:r>
      <w:r w:rsidR="00F02AE0" w:rsidRPr="005C7249">
        <w:rPr>
          <w:color w:val="auto"/>
        </w:rPr>
        <w:t xml:space="preserve">acquisitions and developments. The Other Project element accounts for approximately </w:t>
      </w:r>
      <w:r w:rsidR="00F02AE0">
        <w:rPr>
          <w:color w:val="auto"/>
        </w:rPr>
        <w:t>33</w:t>
      </w:r>
      <w:r w:rsidR="00F02AE0" w:rsidRPr="005C7249">
        <w:rPr>
          <w:color w:val="auto"/>
        </w:rPr>
        <w:t xml:space="preserve">% of the programme and relates to </w:t>
      </w:r>
      <w:r w:rsidR="00F02AE0" w:rsidRPr="00927F20">
        <w:rPr>
          <w:color w:val="auto"/>
        </w:rPr>
        <w:t>works required</w:t>
      </w:r>
      <w:r w:rsidR="00F02AE0">
        <w:rPr>
          <w:color w:val="auto"/>
        </w:rPr>
        <w:t>,</w:t>
      </w:r>
      <w:r w:rsidR="00F02AE0" w:rsidRPr="00927F20">
        <w:rPr>
          <w:color w:val="auto"/>
        </w:rPr>
        <w:t xml:space="preserve"> which have been included in the new programme model and include items such as Fire Safety, Structural works and decency (damp and mould, etc.)</w:t>
      </w:r>
      <w:r w:rsidR="00F02AE0">
        <w:rPr>
          <w:color w:val="auto"/>
        </w:rPr>
        <w:t>. A</w:t>
      </w:r>
      <w:r w:rsidRPr="005C7249">
        <w:rPr>
          <w:color w:val="auto"/>
        </w:rPr>
        <w:t xml:space="preserve">pproximately </w:t>
      </w:r>
      <w:r w:rsidR="00F02AE0">
        <w:rPr>
          <w:color w:val="auto"/>
        </w:rPr>
        <w:t>8</w:t>
      </w:r>
      <w:r w:rsidRPr="005C7249">
        <w:rPr>
          <w:color w:val="auto"/>
        </w:rPr>
        <w:t>% of the capital programme is a rolling programme, for example kitchen and bathroom replacements, heating, and electrics etc</w:t>
      </w:r>
      <w:r w:rsidR="00924310" w:rsidRPr="00927F20">
        <w:rPr>
          <w:color w:val="auto"/>
        </w:rPr>
        <w:t>.</w:t>
      </w:r>
    </w:p>
    <w:p w14:paraId="27B70A61" w14:textId="52CC6AA8" w:rsidR="00464D05" w:rsidRDefault="00F02AE0" w:rsidP="00D07CC1">
      <w:pPr>
        <w:pStyle w:val="ListParagraph"/>
        <w:ind w:left="357"/>
        <w:rPr>
          <w:color w:val="auto"/>
          <w:sz w:val="16"/>
          <w:szCs w:val="16"/>
        </w:rPr>
      </w:pPr>
      <w:r w:rsidRPr="00F02AE0">
        <w:rPr>
          <w:noProof/>
        </w:rPr>
        <w:drawing>
          <wp:inline distT="0" distB="0" distL="0" distR="0" wp14:anchorId="6D93EC87" wp14:editId="34F60542">
            <wp:extent cx="5904230" cy="1544320"/>
            <wp:effectExtent l="0" t="0" r="1270" b="0"/>
            <wp:docPr id="18808664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230" cy="1544320"/>
                    </a:xfrm>
                    <a:prstGeom prst="rect">
                      <a:avLst/>
                    </a:prstGeom>
                    <a:noFill/>
                    <a:ln>
                      <a:noFill/>
                    </a:ln>
                  </pic:spPr>
                </pic:pic>
              </a:graphicData>
            </a:graphic>
          </wp:inline>
        </w:drawing>
      </w:r>
    </w:p>
    <w:p w14:paraId="43A6367A" w14:textId="6CBCF2AF" w:rsidR="00107566" w:rsidRPr="001956F9" w:rsidRDefault="00107566" w:rsidP="00107566">
      <w:pPr>
        <w:pStyle w:val="ListParagraph"/>
        <w:ind w:left="360"/>
        <w:rPr>
          <w:color w:val="auto"/>
          <w:sz w:val="16"/>
          <w:szCs w:val="16"/>
        </w:rPr>
      </w:pPr>
      <w:r w:rsidRPr="001956F9">
        <w:rPr>
          <w:color w:val="auto"/>
          <w:sz w:val="16"/>
          <w:szCs w:val="16"/>
        </w:rPr>
        <w:t>Fig</w:t>
      </w:r>
      <w:r>
        <w:rPr>
          <w:color w:val="auto"/>
          <w:sz w:val="16"/>
          <w:szCs w:val="16"/>
        </w:rPr>
        <w:t>.3</w:t>
      </w:r>
    </w:p>
    <w:p w14:paraId="5A84CD6C" w14:textId="6D80559D" w:rsidR="00107566" w:rsidRPr="004061A5" w:rsidRDefault="00107566" w:rsidP="00C66425">
      <w:pPr>
        <w:pStyle w:val="ListParagraph"/>
        <w:numPr>
          <w:ilvl w:val="0"/>
          <w:numId w:val="5"/>
        </w:numPr>
        <w:tabs>
          <w:tab w:val="clear" w:pos="426"/>
        </w:tabs>
        <w:ind w:left="851" w:hanging="567"/>
        <w:rPr>
          <w:color w:val="auto"/>
        </w:rPr>
      </w:pPr>
      <w:proofErr w:type="gramStart"/>
      <w:r w:rsidRPr="004061A5">
        <w:rPr>
          <w:color w:val="auto"/>
        </w:rPr>
        <w:t>The majority of</w:t>
      </w:r>
      <w:proofErr w:type="gramEnd"/>
      <w:r w:rsidRPr="004061A5">
        <w:rPr>
          <w:color w:val="auto"/>
        </w:rPr>
        <w:t xml:space="preserve"> the movements on the HRA capital programme between the </w:t>
      </w:r>
      <w:r w:rsidR="00F02AE0" w:rsidRPr="004061A5">
        <w:rPr>
          <w:color w:val="auto"/>
        </w:rPr>
        <w:t>Latest</w:t>
      </w:r>
      <w:r w:rsidRPr="004061A5">
        <w:rPr>
          <w:color w:val="auto"/>
        </w:rPr>
        <w:t xml:space="preserve"> Budget and the Forecast for </w:t>
      </w:r>
      <w:r w:rsidR="009A32CA" w:rsidRPr="004061A5">
        <w:rPr>
          <w:color w:val="auto"/>
        </w:rPr>
        <w:t>20</w:t>
      </w:r>
      <w:r w:rsidRPr="004061A5">
        <w:rPr>
          <w:color w:val="auto"/>
        </w:rPr>
        <w:t>2</w:t>
      </w:r>
      <w:r w:rsidR="00F02AE0" w:rsidRPr="004061A5">
        <w:rPr>
          <w:color w:val="auto"/>
        </w:rPr>
        <w:t>5</w:t>
      </w:r>
      <w:r w:rsidRPr="004061A5">
        <w:rPr>
          <w:color w:val="auto"/>
        </w:rPr>
        <w:t>/2</w:t>
      </w:r>
      <w:r w:rsidR="00F02AE0" w:rsidRPr="004061A5">
        <w:rPr>
          <w:color w:val="auto"/>
        </w:rPr>
        <w:t>6</w:t>
      </w:r>
      <w:r w:rsidRPr="004061A5">
        <w:rPr>
          <w:color w:val="auto"/>
        </w:rPr>
        <w:t xml:space="preserve">, as advised by project managers, are due to the following key </w:t>
      </w:r>
      <w:r w:rsidR="00F02AE0" w:rsidRPr="004061A5">
        <w:rPr>
          <w:color w:val="auto"/>
        </w:rPr>
        <w:t>variances</w:t>
      </w:r>
      <w:r w:rsidRPr="004061A5">
        <w:rPr>
          <w:color w:val="auto"/>
        </w:rPr>
        <w:t>:</w:t>
      </w:r>
    </w:p>
    <w:p w14:paraId="33C97FAD" w14:textId="184215BC" w:rsidR="00107566" w:rsidRPr="00C66425" w:rsidRDefault="00107566" w:rsidP="00C66425">
      <w:pPr>
        <w:pStyle w:val="ListParagraph"/>
        <w:numPr>
          <w:ilvl w:val="0"/>
          <w:numId w:val="12"/>
        </w:numPr>
        <w:tabs>
          <w:tab w:val="clear" w:pos="426"/>
        </w:tabs>
        <w:ind w:left="1276" w:hanging="425"/>
      </w:pPr>
      <w:r w:rsidRPr="00395144">
        <w:rPr>
          <w:b/>
          <w:bCs/>
        </w:rPr>
        <w:t>Northfield Hostel</w:t>
      </w:r>
      <w:r w:rsidRPr="00C66425">
        <w:rPr>
          <w:b/>
          <w:bCs/>
        </w:rPr>
        <w:t xml:space="preserve"> </w:t>
      </w:r>
      <w:r w:rsidRPr="00C66425">
        <w:t>- this housing development has been delayed with slippage of £</w:t>
      </w:r>
      <w:r w:rsidR="00F02AE0" w:rsidRPr="00C66425">
        <w:t>6.21m</w:t>
      </w:r>
      <w:r w:rsidRPr="00C66425">
        <w:t xml:space="preserve"> due to the contract</w:t>
      </w:r>
      <w:r w:rsidR="00315B96" w:rsidRPr="00C66425">
        <w:t xml:space="preserve">ual </w:t>
      </w:r>
      <w:r w:rsidRPr="00C66425">
        <w:t>process</w:t>
      </w:r>
      <w:r w:rsidR="00315B96" w:rsidRPr="00C66425">
        <w:t>.</w:t>
      </w:r>
      <w:r w:rsidRPr="00C66425">
        <w:t xml:space="preserve"> </w:t>
      </w:r>
    </w:p>
    <w:p w14:paraId="61EE2D2D" w14:textId="563C9450" w:rsidR="00315B96" w:rsidRPr="00C66425" w:rsidRDefault="00315B96" w:rsidP="00C66425">
      <w:pPr>
        <w:pStyle w:val="ListParagraph"/>
        <w:numPr>
          <w:ilvl w:val="0"/>
          <w:numId w:val="12"/>
        </w:numPr>
        <w:tabs>
          <w:tab w:val="clear" w:pos="426"/>
        </w:tabs>
        <w:ind w:left="1276" w:hanging="425"/>
      </w:pPr>
      <w:r w:rsidRPr="00C66425">
        <w:rPr>
          <w:b/>
          <w:bCs/>
        </w:rPr>
        <w:t>HRA Barton Acquisitions</w:t>
      </w:r>
      <w:r w:rsidRPr="00C66425">
        <w:t xml:space="preserve"> – there is a forecast pressure of £2.684m arising from the re-casting of the development programme and handover schedule from the developer. </w:t>
      </w:r>
      <w:r w:rsidR="00D84DE0">
        <w:t xml:space="preserve">The </w:t>
      </w:r>
      <w:r w:rsidR="00395144" w:rsidRPr="00C66425">
        <w:t>programme budget</w:t>
      </w:r>
      <w:r w:rsidR="00D84DE0">
        <w:t xml:space="preserve"> is being reprofiled</w:t>
      </w:r>
    </w:p>
    <w:p w14:paraId="621B2A48" w14:textId="0B1BB112" w:rsidR="00315B96" w:rsidRPr="00C66425" w:rsidRDefault="00315B96" w:rsidP="00C66425">
      <w:pPr>
        <w:pStyle w:val="ListParagraph"/>
        <w:numPr>
          <w:ilvl w:val="0"/>
          <w:numId w:val="12"/>
        </w:numPr>
        <w:tabs>
          <w:tab w:val="clear" w:pos="426"/>
        </w:tabs>
        <w:ind w:left="1276" w:hanging="425"/>
      </w:pPr>
      <w:r w:rsidRPr="00C66425">
        <w:rPr>
          <w:b/>
          <w:bCs/>
        </w:rPr>
        <w:t>Properties purchas</w:t>
      </w:r>
      <w:r w:rsidR="00C66425">
        <w:rPr>
          <w:b/>
          <w:bCs/>
        </w:rPr>
        <w:t>ed</w:t>
      </w:r>
      <w:r w:rsidRPr="00C66425">
        <w:rPr>
          <w:b/>
          <w:bCs/>
        </w:rPr>
        <w:t xml:space="preserve"> from Housing </w:t>
      </w:r>
      <w:proofErr w:type="gramStart"/>
      <w:r w:rsidRPr="00C66425">
        <w:rPr>
          <w:b/>
          <w:bCs/>
        </w:rPr>
        <w:t>Company</w:t>
      </w:r>
      <w:r w:rsidRPr="00C66425">
        <w:t xml:space="preserve">  -</w:t>
      </w:r>
      <w:proofErr w:type="gramEnd"/>
      <w:r w:rsidRPr="00C66425">
        <w:t xml:space="preserve"> £1.355m pressure  forecast for 2025/26 due to the re-programming of Marston Paddock and Railway Lane properties and the increased scope of Goose Green proposals. </w:t>
      </w:r>
    </w:p>
    <w:p w14:paraId="5FD09E91" w14:textId="77777777" w:rsidR="006F2709" w:rsidRPr="001D22E9" w:rsidRDefault="006F2709" w:rsidP="14BF4969">
      <w:pPr>
        <w:rPr>
          <w:b/>
          <w:bCs/>
          <w:color w:val="auto"/>
          <w:highlight w:val="yellow"/>
        </w:rPr>
      </w:pPr>
    </w:p>
    <w:p w14:paraId="1169F6B3" w14:textId="11DCD47E" w:rsidR="00253E33" w:rsidRPr="006E1ADB" w:rsidRDefault="32B74AB0" w:rsidP="14BF4969">
      <w:pPr>
        <w:rPr>
          <w:b/>
          <w:bCs/>
          <w:color w:val="auto"/>
        </w:rPr>
      </w:pPr>
      <w:bookmarkStart w:id="2" w:name="_Hlk157160223"/>
      <w:r w:rsidRPr="0012592C">
        <w:rPr>
          <w:b/>
          <w:bCs/>
          <w:color w:val="auto"/>
        </w:rPr>
        <w:t>Corporate Risk</w:t>
      </w:r>
      <w:r w:rsidR="22173B8E" w:rsidRPr="006E1ADB">
        <w:rPr>
          <w:b/>
          <w:bCs/>
          <w:color w:val="auto"/>
        </w:rPr>
        <w:t xml:space="preserve"> </w:t>
      </w:r>
    </w:p>
    <w:p w14:paraId="02066B5C" w14:textId="7E9A5A3E" w:rsidR="004F1B2E" w:rsidRDefault="004F1B2E" w:rsidP="00B37A6D">
      <w:pPr>
        <w:pStyle w:val="ListParagraph"/>
        <w:numPr>
          <w:ilvl w:val="0"/>
          <w:numId w:val="5"/>
        </w:numPr>
        <w:tabs>
          <w:tab w:val="clear" w:pos="426"/>
        </w:tabs>
        <w:ind w:left="851" w:hanging="567"/>
        <w:rPr>
          <w:color w:val="auto"/>
        </w:rPr>
      </w:pPr>
      <w:r w:rsidRPr="004F1B2E">
        <w:rPr>
          <w:color w:val="auto"/>
        </w:rPr>
        <w:t>The Council employs a ‘five-by-five’ risk scoring matrix, assessing risks based on probability and impact.</w:t>
      </w:r>
      <w:r>
        <w:rPr>
          <w:color w:val="auto"/>
        </w:rPr>
        <w:t xml:space="preserve"> Corporate risks are reviewed by the Corporate Leadership Team quarterly. Service level risks are reviewed periodically by Directors and Service Managers.</w:t>
      </w:r>
    </w:p>
    <w:p w14:paraId="4BBFA8AD" w14:textId="58A4DECC" w:rsidR="006E1ADB" w:rsidRDefault="006E1ADB" w:rsidP="00B37A6D">
      <w:pPr>
        <w:pStyle w:val="ListParagraph"/>
        <w:numPr>
          <w:ilvl w:val="0"/>
          <w:numId w:val="5"/>
        </w:numPr>
        <w:tabs>
          <w:tab w:val="clear" w:pos="426"/>
        </w:tabs>
        <w:ind w:left="851" w:hanging="567"/>
        <w:rPr>
          <w:color w:val="auto"/>
        </w:rPr>
      </w:pPr>
      <w:r w:rsidRPr="006E1ADB">
        <w:rPr>
          <w:color w:val="auto"/>
        </w:rPr>
        <w:t xml:space="preserve">The table below shows the number of corporate risks on </w:t>
      </w:r>
      <w:r w:rsidR="004F1B2E">
        <w:rPr>
          <w:color w:val="auto"/>
        </w:rPr>
        <w:t>30 June</w:t>
      </w:r>
      <w:r w:rsidRPr="006E1ADB">
        <w:rPr>
          <w:color w:val="auto"/>
        </w:rPr>
        <w:t xml:space="preserve"> 202</w:t>
      </w:r>
      <w:r w:rsidR="004F1B2E">
        <w:rPr>
          <w:color w:val="auto"/>
        </w:rPr>
        <w:t>5</w:t>
      </w:r>
      <w:r w:rsidRPr="006E1ADB">
        <w:rPr>
          <w:color w:val="auto"/>
        </w:rPr>
        <w:t xml:space="preserve">, categorised by level Red, Amber and Green, and the comparative number </w:t>
      </w:r>
      <w:r w:rsidR="004F1B2E">
        <w:rPr>
          <w:color w:val="auto"/>
        </w:rPr>
        <w:t>for the previous reported quarter</w:t>
      </w:r>
      <w:r w:rsidR="00FC71D8">
        <w:rPr>
          <w:color w:val="auto"/>
        </w:rPr>
        <w:t>.</w:t>
      </w:r>
    </w:p>
    <w:tbl>
      <w:tblPr>
        <w:tblW w:w="5019"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65"/>
        <w:gridCol w:w="1165"/>
      </w:tblGrid>
      <w:tr w:rsidR="004F1B2E" w:rsidRPr="006E1ADB" w14:paraId="017B30CA" w14:textId="0A8A71DD" w:rsidTr="001A76FE">
        <w:trPr>
          <w:trHeight w:val="300"/>
        </w:trPr>
        <w:tc>
          <w:tcPr>
            <w:tcW w:w="2689" w:type="dxa"/>
            <w:vMerge w:val="restart"/>
            <w:noWrap/>
            <w:vAlign w:val="center"/>
            <w:hideMark/>
          </w:tcPr>
          <w:p w14:paraId="09A58D4E" w14:textId="77777777" w:rsidR="004F1B2E" w:rsidRPr="006E1ADB" w:rsidRDefault="004F1B2E" w:rsidP="007F613E">
            <w:pPr>
              <w:spacing w:after="0"/>
              <w:ind w:right="81"/>
              <w:jc w:val="center"/>
              <w:rPr>
                <w:rFonts w:cs="Arial"/>
                <w:b/>
                <w:bCs/>
              </w:rPr>
            </w:pPr>
            <w:r w:rsidRPr="006E1ADB">
              <w:rPr>
                <w:rFonts w:cs="Arial"/>
                <w:b/>
                <w:bCs/>
              </w:rPr>
              <w:t>Current Risk</w:t>
            </w:r>
          </w:p>
        </w:tc>
        <w:tc>
          <w:tcPr>
            <w:tcW w:w="1165" w:type="dxa"/>
            <w:vAlign w:val="center"/>
            <w:hideMark/>
          </w:tcPr>
          <w:p w14:paraId="2F2A91E0" w14:textId="77777777" w:rsidR="004F1B2E" w:rsidRPr="006E1ADB" w:rsidRDefault="004F1B2E" w:rsidP="007F613E">
            <w:pPr>
              <w:spacing w:after="0"/>
              <w:ind w:right="81"/>
              <w:jc w:val="center"/>
              <w:rPr>
                <w:rFonts w:cs="Arial"/>
                <w:b/>
                <w:bCs/>
              </w:rPr>
            </w:pPr>
            <w:r w:rsidRPr="006E1ADB">
              <w:rPr>
                <w:rFonts w:cs="Arial"/>
                <w:b/>
                <w:bCs/>
              </w:rPr>
              <w:t>Q3</w:t>
            </w:r>
          </w:p>
        </w:tc>
        <w:tc>
          <w:tcPr>
            <w:tcW w:w="1165" w:type="dxa"/>
            <w:vAlign w:val="center"/>
            <w:hideMark/>
          </w:tcPr>
          <w:p w14:paraId="7F16D825" w14:textId="77777777" w:rsidR="004F1B2E" w:rsidRPr="006E1ADB" w:rsidRDefault="004F1B2E" w:rsidP="007F613E">
            <w:pPr>
              <w:spacing w:after="0"/>
              <w:ind w:right="81"/>
              <w:jc w:val="center"/>
              <w:rPr>
                <w:rFonts w:cs="Arial"/>
                <w:b/>
                <w:bCs/>
              </w:rPr>
            </w:pPr>
            <w:r w:rsidRPr="006E1ADB">
              <w:rPr>
                <w:rFonts w:cs="Arial"/>
                <w:b/>
                <w:bCs/>
              </w:rPr>
              <w:t>Q1</w:t>
            </w:r>
          </w:p>
        </w:tc>
      </w:tr>
      <w:tr w:rsidR="004F1B2E" w:rsidRPr="006E1ADB" w14:paraId="0D8C58FE" w14:textId="10BB8A1F" w:rsidTr="001A76FE">
        <w:trPr>
          <w:trHeight w:val="300"/>
        </w:trPr>
        <w:tc>
          <w:tcPr>
            <w:tcW w:w="2689" w:type="dxa"/>
            <w:vMerge/>
            <w:vAlign w:val="center"/>
            <w:hideMark/>
          </w:tcPr>
          <w:p w14:paraId="6E0B78F7" w14:textId="77777777" w:rsidR="004F1B2E" w:rsidRPr="006E1ADB" w:rsidRDefault="004F1B2E" w:rsidP="007F613E">
            <w:pPr>
              <w:spacing w:after="0"/>
              <w:ind w:right="81"/>
              <w:rPr>
                <w:rFonts w:cs="Arial"/>
                <w:b/>
                <w:bCs/>
              </w:rPr>
            </w:pPr>
          </w:p>
        </w:tc>
        <w:tc>
          <w:tcPr>
            <w:tcW w:w="1165" w:type="dxa"/>
            <w:vAlign w:val="center"/>
            <w:hideMark/>
          </w:tcPr>
          <w:p w14:paraId="492C95CA" w14:textId="46BD9FE7" w:rsidR="004F1B2E" w:rsidRPr="006E1ADB" w:rsidRDefault="004F1B2E" w:rsidP="007F613E">
            <w:pPr>
              <w:spacing w:after="0"/>
              <w:ind w:right="81"/>
              <w:jc w:val="center"/>
              <w:rPr>
                <w:rFonts w:cs="Arial"/>
                <w:b/>
                <w:bCs/>
              </w:rPr>
            </w:pPr>
            <w:r w:rsidRPr="006E1ADB">
              <w:rPr>
                <w:rFonts w:cs="Arial"/>
                <w:b/>
                <w:bCs/>
              </w:rPr>
              <w:t>202</w:t>
            </w:r>
            <w:r>
              <w:rPr>
                <w:rFonts w:cs="Arial"/>
                <w:b/>
                <w:bCs/>
              </w:rPr>
              <w:t>4</w:t>
            </w:r>
            <w:r w:rsidRPr="006E1ADB">
              <w:rPr>
                <w:rFonts w:cs="Arial"/>
                <w:b/>
                <w:bCs/>
              </w:rPr>
              <w:t>/2</w:t>
            </w:r>
            <w:r>
              <w:rPr>
                <w:rFonts w:cs="Arial"/>
                <w:b/>
                <w:bCs/>
              </w:rPr>
              <w:t>5</w:t>
            </w:r>
          </w:p>
        </w:tc>
        <w:tc>
          <w:tcPr>
            <w:tcW w:w="1165" w:type="dxa"/>
            <w:vAlign w:val="center"/>
            <w:hideMark/>
          </w:tcPr>
          <w:p w14:paraId="6A7B0F72" w14:textId="58FE5B71" w:rsidR="004F1B2E" w:rsidRPr="006E1ADB" w:rsidRDefault="004F1B2E" w:rsidP="007F613E">
            <w:pPr>
              <w:spacing w:after="0"/>
              <w:ind w:right="81"/>
              <w:jc w:val="center"/>
              <w:rPr>
                <w:rFonts w:cs="Arial"/>
                <w:b/>
                <w:bCs/>
              </w:rPr>
            </w:pPr>
            <w:r w:rsidRPr="006E1ADB">
              <w:rPr>
                <w:rFonts w:cs="Arial"/>
                <w:b/>
                <w:bCs/>
              </w:rPr>
              <w:t>202</w:t>
            </w:r>
            <w:r>
              <w:rPr>
                <w:rFonts w:cs="Arial"/>
                <w:b/>
                <w:bCs/>
              </w:rPr>
              <w:t>5</w:t>
            </w:r>
            <w:r w:rsidRPr="006E1ADB">
              <w:rPr>
                <w:rFonts w:cs="Arial"/>
                <w:b/>
                <w:bCs/>
              </w:rPr>
              <w:t>/2</w:t>
            </w:r>
            <w:r>
              <w:rPr>
                <w:rFonts w:cs="Arial"/>
                <w:b/>
                <w:bCs/>
              </w:rPr>
              <w:t>6</w:t>
            </w:r>
          </w:p>
        </w:tc>
      </w:tr>
      <w:tr w:rsidR="004F1B2E" w:rsidRPr="006E1ADB" w14:paraId="3CC3D1F1" w14:textId="1322E544" w:rsidTr="001A76FE">
        <w:trPr>
          <w:trHeight w:val="300"/>
        </w:trPr>
        <w:tc>
          <w:tcPr>
            <w:tcW w:w="2689" w:type="dxa"/>
            <w:noWrap/>
            <w:vAlign w:val="center"/>
            <w:hideMark/>
          </w:tcPr>
          <w:p w14:paraId="5C3ECD22" w14:textId="77777777" w:rsidR="004F1B2E" w:rsidRPr="006E1ADB" w:rsidRDefault="004F1B2E" w:rsidP="007F613E">
            <w:pPr>
              <w:spacing w:after="0"/>
              <w:ind w:right="81"/>
              <w:rPr>
                <w:rFonts w:cs="Arial"/>
              </w:rPr>
            </w:pPr>
            <w:r w:rsidRPr="006E1ADB">
              <w:rPr>
                <w:rFonts w:cs="Arial"/>
              </w:rPr>
              <w:t>Red</w:t>
            </w:r>
          </w:p>
        </w:tc>
        <w:tc>
          <w:tcPr>
            <w:tcW w:w="1165" w:type="dxa"/>
            <w:vAlign w:val="center"/>
          </w:tcPr>
          <w:p w14:paraId="7050686A" w14:textId="77777777" w:rsidR="004F1B2E" w:rsidRPr="006E1ADB" w:rsidRDefault="004F1B2E" w:rsidP="007F613E">
            <w:pPr>
              <w:spacing w:after="0"/>
              <w:ind w:right="81"/>
              <w:jc w:val="center"/>
              <w:rPr>
                <w:rFonts w:cs="Arial"/>
              </w:rPr>
            </w:pPr>
            <w:r w:rsidRPr="006E1ADB">
              <w:rPr>
                <w:rFonts w:cs="Arial"/>
              </w:rPr>
              <w:t>5</w:t>
            </w:r>
          </w:p>
        </w:tc>
        <w:tc>
          <w:tcPr>
            <w:tcW w:w="1165" w:type="dxa"/>
            <w:vAlign w:val="center"/>
          </w:tcPr>
          <w:p w14:paraId="627D9577" w14:textId="7E1AF52A" w:rsidR="004F1B2E" w:rsidRPr="006E1ADB" w:rsidRDefault="004F1B2E" w:rsidP="007F613E">
            <w:pPr>
              <w:spacing w:after="0"/>
              <w:ind w:right="81"/>
              <w:jc w:val="center"/>
              <w:rPr>
                <w:rFonts w:cs="Arial"/>
              </w:rPr>
            </w:pPr>
            <w:r>
              <w:rPr>
                <w:rFonts w:cs="Arial"/>
              </w:rPr>
              <w:t>6</w:t>
            </w:r>
          </w:p>
        </w:tc>
      </w:tr>
      <w:tr w:rsidR="004F1B2E" w:rsidRPr="006E1ADB" w14:paraId="5D67CD81" w14:textId="7B99A40E" w:rsidTr="001A76FE">
        <w:trPr>
          <w:trHeight w:val="300"/>
        </w:trPr>
        <w:tc>
          <w:tcPr>
            <w:tcW w:w="2689" w:type="dxa"/>
            <w:noWrap/>
            <w:vAlign w:val="center"/>
            <w:hideMark/>
          </w:tcPr>
          <w:p w14:paraId="3F59D208" w14:textId="77777777" w:rsidR="004F1B2E" w:rsidRPr="006E1ADB" w:rsidRDefault="004F1B2E" w:rsidP="007F613E">
            <w:pPr>
              <w:spacing w:after="0"/>
              <w:ind w:right="81"/>
              <w:rPr>
                <w:rFonts w:cs="Arial"/>
              </w:rPr>
            </w:pPr>
            <w:r w:rsidRPr="006E1ADB">
              <w:rPr>
                <w:rFonts w:cs="Arial"/>
              </w:rPr>
              <w:t>Amber</w:t>
            </w:r>
          </w:p>
        </w:tc>
        <w:tc>
          <w:tcPr>
            <w:tcW w:w="1165" w:type="dxa"/>
            <w:vAlign w:val="center"/>
          </w:tcPr>
          <w:p w14:paraId="73DB61AF" w14:textId="27B169A5" w:rsidR="004F1B2E" w:rsidRPr="006E1ADB" w:rsidRDefault="004F1B2E" w:rsidP="007F613E">
            <w:pPr>
              <w:spacing w:after="0"/>
              <w:ind w:right="81"/>
              <w:jc w:val="center"/>
              <w:rPr>
                <w:rFonts w:cs="Arial"/>
              </w:rPr>
            </w:pPr>
            <w:r>
              <w:rPr>
                <w:rFonts w:cs="Arial"/>
              </w:rPr>
              <w:t>7</w:t>
            </w:r>
          </w:p>
        </w:tc>
        <w:tc>
          <w:tcPr>
            <w:tcW w:w="1165" w:type="dxa"/>
            <w:vAlign w:val="center"/>
          </w:tcPr>
          <w:p w14:paraId="13C00FE1" w14:textId="3DFC1763" w:rsidR="004F1B2E" w:rsidRPr="006E1ADB" w:rsidRDefault="004F1B2E" w:rsidP="007F613E">
            <w:pPr>
              <w:spacing w:after="0"/>
              <w:ind w:right="81"/>
              <w:jc w:val="center"/>
              <w:rPr>
                <w:rFonts w:cs="Arial"/>
              </w:rPr>
            </w:pPr>
            <w:r>
              <w:rPr>
                <w:rFonts w:cs="Arial"/>
              </w:rPr>
              <w:t>8</w:t>
            </w:r>
          </w:p>
        </w:tc>
      </w:tr>
      <w:tr w:rsidR="004F1B2E" w:rsidRPr="006E1ADB" w14:paraId="7DEE3F46" w14:textId="0036E1B5" w:rsidTr="001A76FE">
        <w:trPr>
          <w:trHeight w:val="300"/>
        </w:trPr>
        <w:tc>
          <w:tcPr>
            <w:tcW w:w="2689" w:type="dxa"/>
            <w:noWrap/>
            <w:vAlign w:val="center"/>
            <w:hideMark/>
          </w:tcPr>
          <w:p w14:paraId="7243B02B" w14:textId="77777777" w:rsidR="004F1B2E" w:rsidRPr="006E1ADB" w:rsidRDefault="004F1B2E" w:rsidP="007F613E">
            <w:pPr>
              <w:spacing w:after="0"/>
              <w:ind w:right="81"/>
              <w:rPr>
                <w:rFonts w:cs="Arial"/>
              </w:rPr>
            </w:pPr>
            <w:r w:rsidRPr="006E1ADB">
              <w:rPr>
                <w:rFonts w:cs="Arial"/>
              </w:rPr>
              <w:t>Green</w:t>
            </w:r>
          </w:p>
        </w:tc>
        <w:tc>
          <w:tcPr>
            <w:tcW w:w="1165" w:type="dxa"/>
            <w:vAlign w:val="center"/>
          </w:tcPr>
          <w:p w14:paraId="29CA4773" w14:textId="77777777" w:rsidR="004F1B2E" w:rsidRPr="006E1ADB" w:rsidRDefault="004F1B2E" w:rsidP="007F613E">
            <w:pPr>
              <w:spacing w:after="0"/>
              <w:ind w:right="81"/>
              <w:jc w:val="center"/>
              <w:rPr>
                <w:rFonts w:cs="Arial"/>
              </w:rPr>
            </w:pPr>
            <w:r w:rsidRPr="006E1ADB">
              <w:rPr>
                <w:rFonts w:cs="Arial"/>
              </w:rPr>
              <w:t>0</w:t>
            </w:r>
          </w:p>
        </w:tc>
        <w:tc>
          <w:tcPr>
            <w:tcW w:w="1165" w:type="dxa"/>
            <w:vAlign w:val="center"/>
          </w:tcPr>
          <w:p w14:paraId="0A9268E7" w14:textId="77777777" w:rsidR="004F1B2E" w:rsidRPr="006E1ADB" w:rsidRDefault="004F1B2E" w:rsidP="007F613E">
            <w:pPr>
              <w:spacing w:after="0"/>
              <w:ind w:right="81"/>
              <w:jc w:val="center"/>
              <w:rPr>
                <w:rFonts w:cs="Arial"/>
              </w:rPr>
            </w:pPr>
            <w:r w:rsidRPr="006E1ADB">
              <w:rPr>
                <w:rFonts w:cs="Arial"/>
              </w:rPr>
              <w:t>0</w:t>
            </w:r>
          </w:p>
        </w:tc>
      </w:tr>
      <w:tr w:rsidR="004F1B2E" w:rsidRPr="006E1ADB" w14:paraId="49AAF510" w14:textId="6EFC25A6" w:rsidTr="001A76FE">
        <w:trPr>
          <w:trHeight w:val="300"/>
        </w:trPr>
        <w:tc>
          <w:tcPr>
            <w:tcW w:w="2689" w:type="dxa"/>
            <w:shd w:val="clear" w:color="auto" w:fill="D9D9D9" w:themeFill="background1" w:themeFillShade="D9"/>
            <w:noWrap/>
            <w:vAlign w:val="center"/>
            <w:hideMark/>
          </w:tcPr>
          <w:p w14:paraId="37FE51A6" w14:textId="77777777" w:rsidR="004F1B2E" w:rsidRPr="006E1ADB" w:rsidRDefault="004F1B2E" w:rsidP="007F613E">
            <w:pPr>
              <w:spacing w:after="0"/>
              <w:ind w:right="81"/>
              <w:rPr>
                <w:rFonts w:cs="Arial"/>
                <w:b/>
                <w:bCs/>
              </w:rPr>
            </w:pPr>
            <w:r w:rsidRPr="006E1ADB">
              <w:rPr>
                <w:rFonts w:cs="Arial"/>
                <w:b/>
                <w:bCs/>
              </w:rPr>
              <w:t>Total risks</w:t>
            </w:r>
          </w:p>
        </w:tc>
        <w:tc>
          <w:tcPr>
            <w:tcW w:w="1165" w:type="dxa"/>
            <w:shd w:val="clear" w:color="auto" w:fill="D9D9D9" w:themeFill="background1" w:themeFillShade="D9"/>
            <w:vAlign w:val="center"/>
          </w:tcPr>
          <w:p w14:paraId="328F1277" w14:textId="070C26FD" w:rsidR="004F1B2E" w:rsidRPr="006E1ADB" w:rsidRDefault="004F1B2E" w:rsidP="007F613E">
            <w:pPr>
              <w:spacing w:after="0"/>
              <w:ind w:right="81"/>
              <w:jc w:val="center"/>
              <w:rPr>
                <w:rFonts w:cs="Arial"/>
                <w:b/>
                <w:bCs/>
              </w:rPr>
            </w:pPr>
            <w:r w:rsidRPr="006E1ADB">
              <w:rPr>
                <w:rFonts w:cs="Arial"/>
                <w:b/>
                <w:bCs/>
              </w:rPr>
              <w:t>1</w:t>
            </w:r>
            <w:r>
              <w:rPr>
                <w:rFonts w:cs="Arial"/>
                <w:b/>
                <w:bCs/>
              </w:rPr>
              <w:t>2</w:t>
            </w:r>
          </w:p>
        </w:tc>
        <w:tc>
          <w:tcPr>
            <w:tcW w:w="1165" w:type="dxa"/>
            <w:shd w:val="clear" w:color="auto" w:fill="D9D9D9" w:themeFill="background1" w:themeFillShade="D9"/>
            <w:vAlign w:val="center"/>
          </w:tcPr>
          <w:p w14:paraId="41D1701A" w14:textId="385A3D44" w:rsidR="004F1B2E" w:rsidRPr="006E1ADB" w:rsidRDefault="004F1B2E" w:rsidP="007F613E">
            <w:pPr>
              <w:spacing w:after="0"/>
              <w:ind w:right="81"/>
              <w:jc w:val="center"/>
              <w:rPr>
                <w:rFonts w:cs="Arial"/>
                <w:b/>
                <w:bCs/>
              </w:rPr>
            </w:pPr>
            <w:r w:rsidRPr="006E1ADB">
              <w:rPr>
                <w:rFonts w:cs="Arial"/>
                <w:b/>
                <w:bCs/>
              </w:rPr>
              <w:t>1</w:t>
            </w:r>
            <w:r>
              <w:rPr>
                <w:rFonts w:cs="Arial"/>
                <w:b/>
                <w:bCs/>
              </w:rPr>
              <w:t>4</w:t>
            </w:r>
          </w:p>
        </w:tc>
      </w:tr>
      <w:tr w:rsidR="004F1B2E" w:rsidRPr="006E1ADB" w14:paraId="691E8251" w14:textId="7C2DA840" w:rsidTr="001A76FE">
        <w:trPr>
          <w:trHeight w:val="300"/>
        </w:trPr>
        <w:tc>
          <w:tcPr>
            <w:tcW w:w="2689" w:type="dxa"/>
            <w:noWrap/>
            <w:vAlign w:val="center"/>
            <w:hideMark/>
          </w:tcPr>
          <w:p w14:paraId="3E883C15" w14:textId="52D81D18" w:rsidR="004F1B2E" w:rsidRPr="006E1ADB" w:rsidRDefault="004F1B2E" w:rsidP="007F613E">
            <w:pPr>
              <w:spacing w:after="0"/>
              <w:ind w:right="81"/>
              <w:rPr>
                <w:rFonts w:cs="Arial"/>
              </w:rPr>
            </w:pPr>
            <w:r w:rsidRPr="006E1ADB">
              <w:rPr>
                <w:rFonts w:cs="Arial"/>
              </w:rPr>
              <w:t xml:space="preserve">New risks in </w:t>
            </w:r>
            <w:r>
              <w:rPr>
                <w:rFonts w:cs="Arial"/>
              </w:rPr>
              <w:t>half year</w:t>
            </w:r>
          </w:p>
        </w:tc>
        <w:tc>
          <w:tcPr>
            <w:tcW w:w="1165" w:type="dxa"/>
            <w:vAlign w:val="center"/>
          </w:tcPr>
          <w:p w14:paraId="0B75C03B" w14:textId="598FD035" w:rsidR="004F1B2E" w:rsidRPr="006E1ADB" w:rsidRDefault="004F1B2E" w:rsidP="007F613E">
            <w:pPr>
              <w:spacing w:after="0"/>
              <w:ind w:right="81"/>
              <w:jc w:val="center"/>
              <w:rPr>
                <w:rFonts w:cs="Arial"/>
              </w:rPr>
            </w:pPr>
            <w:r>
              <w:rPr>
                <w:rFonts w:cs="Arial"/>
              </w:rPr>
              <w:t>1</w:t>
            </w:r>
          </w:p>
        </w:tc>
        <w:tc>
          <w:tcPr>
            <w:tcW w:w="1165" w:type="dxa"/>
            <w:vAlign w:val="center"/>
          </w:tcPr>
          <w:p w14:paraId="55CEDA7E" w14:textId="7D3358B1" w:rsidR="004F1B2E" w:rsidRPr="006E1ADB" w:rsidRDefault="004F1B2E" w:rsidP="007F613E">
            <w:pPr>
              <w:spacing w:after="0"/>
              <w:ind w:right="81"/>
              <w:jc w:val="center"/>
              <w:rPr>
                <w:rFonts w:cs="Arial"/>
              </w:rPr>
            </w:pPr>
            <w:r>
              <w:rPr>
                <w:rFonts w:cs="Arial"/>
              </w:rPr>
              <w:t>1</w:t>
            </w:r>
            <w:r w:rsidRPr="006E1ADB">
              <w:rPr>
                <w:rFonts w:cs="Arial"/>
              </w:rPr>
              <w:t>0</w:t>
            </w:r>
          </w:p>
        </w:tc>
      </w:tr>
      <w:tr w:rsidR="004F1B2E" w:rsidRPr="001D22E9" w14:paraId="47A6C30A" w14:textId="591C9CC8" w:rsidTr="001A76FE">
        <w:trPr>
          <w:trHeight w:val="300"/>
        </w:trPr>
        <w:tc>
          <w:tcPr>
            <w:tcW w:w="2689" w:type="dxa"/>
            <w:noWrap/>
            <w:vAlign w:val="center"/>
            <w:hideMark/>
          </w:tcPr>
          <w:p w14:paraId="527A3F35" w14:textId="77777777" w:rsidR="004F1B2E" w:rsidRPr="006E1ADB" w:rsidRDefault="004F1B2E" w:rsidP="007F613E">
            <w:pPr>
              <w:spacing w:after="0"/>
              <w:ind w:right="81"/>
              <w:rPr>
                <w:rFonts w:cs="Arial"/>
              </w:rPr>
            </w:pPr>
            <w:r w:rsidRPr="006E1ADB">
              <w:rPr>
                <w:rFonts w:cs="Arial"/>
              </w:rPr>
              <w:lastRenderedPageBreak/>
              <w:t>Closed</w:t>
            </w:r>
          </w:p>
        </w:tc>
        <w:tc>
          <w:tcPr>
            <w:tcW w:w="1165" w:type="dxa"/>
            <w:vAlign w:val="center"/>
          </w:tcPr>
          <w:p w14:paraId="36D7AFAB" w14:textId="77777777" w:rsidR="004F1B2E" w:rsidRPr="006E1ADB" w:rsidRDefault="004F1B2E" w:rsidP="007F613E">
            <w:pPr>
              <w:spacing w:after="0"/>
              <w:ind w:right="81"/>
              <w:jc w:val="center"/>
              <w:rPr>
                <w:rFonts w:cs="Arial"/>
              </w:rPr>
            </w:pPr>
            <w:r w:rsidRPr="006E1ADB">
              <w:rPr>
                <w:rFonts w:cs="Arial"/>
              </w:rPr>
              <w:t>0</w:t>
            </w:r>
          </w:p>
        </w:tc>
        <w:tc>
          <w:tcPr>
            <w:tcW w:w="1165" w:type="dxa"/>
            <w:vAlign w:val="center"/>
          </w:tcPr>
          <w:p w14:paraId="0862A56D" w14:textId="33828E5E" w:rsidR="004F1B2E" w:rsidRPr="006E1ADB" w:rsidRDefault="004F1B2E" w:rsidP="007F613E">
            <w:pPr>
              <w:spacing w:after="0"/>
              <w:ind w:right="81"/>
              <w:jc w:val="center"/>
              <w:rPr>
                <w:rFonts w:cs="Arial"/>
              </w:rPr>
            </w:pPr>
            <w:r>
              <w:rPr>
                <w:rFonts w:cs="Arial"/>
              </w:rPr>
              <w:t>8</w:t>
            </w:r>
          </w:p>
        </w:tc>
      </w:tr>
    </w:tbl>
    <w:p w14:paraId="4E0F7731" w14:textId="77777777" w:rsidR="006E1ADB" w:rsidRDefault="006E1ADB" w:rsidP="004F3CB9">
      <w:pPr>
        <w:rPr>
          <w:color w:val="auto"/>
          <w:highlight w:val="yellow"/>
        </w:rPr>
      </w:pPr>
    </w:p>
    <w:p w14:paraId="594A1D9B" w14:textId="6214C20B" w:rsidR="005B7D62" w:rsidRDefault="004F3CB9" w:rsidP="00C66425">
      <w:pPr>
        <w:ind w:left="851"/>
        <w:rPr>
          <w:color w:val="auto"/>
        </w:rPr>
      </w:pPr>
      <w:bookmarkStart w:id="3" w:name="_Hlk189215773"/>
      <w:r w:rsidRPr="005B7D62">
        <w:rPr>
          <w:color w:val="auto"/>
        </w:rPr>
        <w:t xml:space="preserve">At </w:t>
      </w:r>
      <w:r w:rsidR="004F1B2E" w:rsidRPr="005B7D62">
        <w:rPr>
          <w:color w:val="auto"/>
        </w:rPr>
        <w:t>1</w:t>
      </w:r>
      <w:r w:rsidRPr="005B7D62">
        <w:rPr>
          <w:color w:val="auto"/>
        </w:rPr>
        <w:t xml:space="preserve">Q </w:t>
      </w:r>
      <w:r w:rsidR="009A32CA" w:rsidRPr="005B7D62">
        <w:rPr>
          <w:color w:val="auto"/>
        </w:rPr>
        <w:t>20</w:t>
      </w:r>
      <w:r w:rsidRPr="005B7D62">
        <w:rPr>
          <w:color w:val="auto"/>
        </w:rPr>
        <w:t>2</w:t>
      </w:r>
      <w:r w:rsidR="004F1B2E" w:rsidRPr="005B7D62">
        <w:rPr>
          <w:color w:val="auto"/>
        </w:rPr>
        <w:t>5</w:t>
      </w:r>
      <w:r w:rsidRPr="005B7D62">
        <w:rPr>
          <w:color w:val="auto"/>
        </w:rPr>
        <w:t>/2</w:t>
      </w:r>
      <w:r w:rsidR="004F1B2E" w:rsidRPr="005B7D62">
        <w:rPr>
          <w:color w:val="auto"/>
        </w:rPr>
        <w:t>6</w:t>
      </w:r>
      <w:r w:rsidR="00A51AFF" w:rsidRPr="005B7D62">
        <w:rPr>
          <w:color w:val="auto"/>
        </w:rPr>
        <w:t xml:space="preserve"> in the latest update to the current Corporate Risk Register</w:t>
      </w:r>
      <w:r w:rsidRPr="005B7D62">
        <w:rPr>
          <w:color w:val="auto"/>
        </w:rPr>
        <w:t xml:space="preserve"> </w:t>
      </w:r>
      <w:r w:rsidR="004F1B2E" w:rsidRPr="005B7D62">
        <w:rPr>
          <w:color w:val="auto"/>
        </w:rPr>
        <w:t xml:space="preserve">(CRR) </w:t>
      </w:r>
      <w:r w:rsidRPr="005B7D62">
        <w:rPr>
          <w:color w:val="auto"/>
        </w:rPr>
        <w:t>t</w:t>
      </w:r>
      <w:r w:rsidR="00FA10A6" w:rsidRPr="005B7D62">
        <w:rPr>
          <w:color w:val="auto"/>
        </w:rPr>
        <w:t xml:space="preserve">here </w:t>
      </w:r>
      <w:r w:rsidR="00952FBA" w:rsidRPr="005B7D62">
        <w:rPr>
          <w:color w:val="auto"/>
        </w:rPr>
        <w:t xml:space="preserve">are </w:t>
      </w:r>
      <w:r w:rsidR="004F1B2E" w:rsidRPr="005B7D62">
        <w:rPr>
          <w:color w:val="auto"/>
        </w:rPr>
        <w:t>six</w:t>
      </w:r>
      <w:r w:rsidR="00952FBA" w:rsidRPr="005B7D62">
        <w:rPr>
          <w:color w:val="auto"/>
        </w:rPr>
        <w:t xml:space="preserve"> red </w:t>
      </w:r>
      <w:r w:rsidRPr="005B7D62">
        <w:rPr>
          <w:color w:val="auto"/>
        </w:rPr>
        <w:t xml:space="preserve">corporate </w:t>
      </w:r>
      <w:r w:rsidR="00A11423" w:rsidRPr="005B7D62">
        <w:rPr>
          <w:color w:val="auto"/>
        </w:rPr>
        <w:t>risk</w:t>
      </w:r>
      <w:r w:rsidR="00FA10A6" w:rsidRPr="005B7D62">
        <w:rPr>
          <w:color w:val="auto"/>
        </w:rPr>
        <w:t>s</w:t>
      </w:r>
      <w:r w:rsidR="00AB0E9B" w:rsidRPr="005B7D62">
        <w:rPr>
          <w:color w:val="auto"/>
        </w:rPr>
        <w:t xml:space="preserve"> with </w:t>
      </w:r>
      <w:r w:rsidR="0056233A">
        <w:rPr>
          <w:color w:val="auto"/>
        </w:rPr>
        <w:t xml:space="preserve">one risk remaining red, four </w:t>
      </w:r>
      <w:r w:rsidR="00C66425" w:rsidRPr="00C66425">
        <w:rPr>
          <w:color w:val="auto"/>
        </w:rPr>
        <w:t>new red risk</w:t>
      </w:r>
      <w:r w:rsidR="0056233A">
        <w:rPr>
          <w:color w:val="auto"/>
        </w:rPr>
        <w:t>s</w:t>
      </w:r>
      <w:r w:rsidR="005B7D62" w:rsidRPr="00C66425">
        <w:rPr>
          <w:color w:val="auto"/>
        </w:rPr>
        <w:t>, two red risks that have been combined into one red risk</w:t>
      </w:r>
      <w:r w:rsidR="004F1B2E" w:rsidRPr="00C66425">
        <w:rPr>
          <w:color w:val="auto"/>
        </w:rPr>
        <w:t xml:space="preserve"> </w:t>
      </w:r>
      <w:r w:rsidR="005B7D62" w:rsidRPr="00C66425">
        <w:rPr>
          <w:color w:val="auto"/>
        </w:rPr>
        <w:t xml:space="preserve">related </w:t>
      </w:r>
      <w:r w:rsidR="00A50EE8" w:rsidRPr="00C66425">
        <w:rPr>
          <w:color w:val="auto"/>
        </w:rPr>
        <w:t xml:space="preserve">to climate change </w:t>
      </w:r>
      <w:r w:rsidR="004F1B2E" w:rsidRPr="00C66425">
        <w:rPr>
          <w:color w:val="auto"/>
        </w:rPr>
        <w:t xml:space="preserve">and </w:t>
      </w:r>
      <w:r w:rsidR="00913543">
        <w:rPr>
          <w:color w:val="auto"/>
        </w:rPr>
        <w:t xml:space="preserve">the following </w:t>
      </w:r>
      <w:r w:rsidR="005B7D62" w:rsidRPr="00C66425">
        <w:rPr>
          <w:color w:val="auto"/>
        </w:rPr>
        <w:t xml:space="preserve">two </w:t>
      </w:r>
      <w:r w:rsidR="00A50EE8" w:rsidRPr="00C66425">
        <w:rPr>
          <w:color w:val="auto"/>
        </w:rPr>
        <w:t>red ris</w:t>
      </w:r>
      <w:r w:rsidR="00A50EE8">
        <w:rPr>
          <w:color w:val="auto"/>
        </w:rPr>
        <w:t xml:space="preserve">ks that </w:t>
      </w:r>
      <w:r w:rsidR="005B7D62" w:rsidRPr="005B7D62">
        <w:rPr>
          <w:color w:val="auto"/>
        </w:rPr>
        <w:t>are no longer in t</w:t>
      </w:r>
      <w:r w:rsidR="004F1B2E" w:rsidRPr="005B7D62">
        <w:rPr>
          <w:color w:val="auto"/>
        </w:rPr>
        <w:t>he CRR</w:t>
      </w:r>
      <w:r w:rsidR="005B7D62" w:rsidRPr="005B7D62">
        <w:rPr>
          <w:color w:val="auto"/>
        </w:rPr>
        <w:t xml:space="preserve">: </w:t>
      </w:r>
    </w:p>
    <w:p w14:paraId="4325D645" w14:textId="1C912144" w:rsidR="005B7D62" w:rsidRPr="00C66425" w:rsidRDefault="005B7D62" w:rsidP="00C66425">
      <w:pPr>
        <w:pStyle w:val="ListParagraph"/>
        <w:numPr>
          <w:ilvl w:val="0"/>
          <w:numId w:val="12"/>
        </w:numPr>
        <w:tabs>
          <w:tab w:val="clear" w:pos="426"/>
        </w:tabs>
        <w:ind w:left="1276" w:hanging="425"/>
      </w:pPr>
      <w:r w:rsidRPr="00C66425">
        <w:t>Health and safety and compliance with legislative requirements which has been replaced by three risks</w:t>
      </w:r>
      <w:r w:rsidR="0056233A">
        <w:t xml:space="preserve">: </w:t>
      </w:r>
      <w:r w:rsidRPr="00C66425">
        <w:t>Failure to comply with governance requirements</w:t>
      </w:r>
      <w:r w:rsidR="0056233A">
        <w:t>; F</w:t>
      </w:r>
      <w:r w:rsidRPr="00C66425">
        <w:t>ailure to comply with regulations and statutory compliance</w:t>
      </w:r>
      <w:r w:rsidR="0056233A">
        <w:t xml:space="preserve">; </w:t>
      </w:r>
      <w:r w:rsidRPr="00C66425">
        <w:t>Ensuring the health and safety of the workforce and the public</w:t>
      </w:r>
    </w:p>
    <w:p w14:paraId="1715E582" w14:textId="64191F15" w:rsidR="005B7D62" w:rsidRPr="00C66425" w:rsidRDefault="005B7D62" w:rsidP="00C66425">
      <w:pPr>
        <w:pStyle w:val="ListParagraph"/>
        <w:numPr>
          <w:ilvl w:val="0"/>
          <w:numId w:val="12"/>
        </w:numPr>
        <w:tabs>
          <w:tab w:val="clear" w:pos="426"/>
        </w:tabs>
        <w:ind w:left="1276" w:hanging="425"/>
      </w:pPr>
      <w:r w:rsidRPr="00C66425">
        <w:t>Increased costs and complexity for waste which is now an amber risk held on the service risk register (SRR)</w:t>
      </w:r>
      <w:bookmarkEnd w:id="3"/>
    </w:p>
    <w:p w14:paraId="2E38043C" w14:textId="523A0670" w:rsidR="00FA10A6" w:rsidRPr="005B7D62" w:rsidRDefault="000501D4" w:rsidP="00C66425">
      <w:pPr>
        <w:ind w:left="851"/>
        <w:rPr>
          <w:color w:val="auto"/>
        </w:rPr>
      </w:pPr>
      <w:r w:rsidRPr="005B7D62">
        <w:rPr>
          <w:color w:val="auto"/>
        </w:rPr>
        <w:t xml:space="preserve">The </w:t>
      </w:r>
      <w:r w:rsidR="00E1215B" w:rsidRPr="005B7D62">
        <w:rPr>
          <w:color w:val="auto"/>
        </w:rPr>
        <w:t xml:space="preserve">current </w:t>
      </w:r>
      <w:r w:rsidR="004F1B2E" w:rsidRPr="005B7D62">
        <w:rPr>
          <w:color w:val="auto"/>
        </w:rPr>
        <w:t>six</w:t>
      </w:r>
      <w:r w:rsidRPr="005B7D62">
        <w:rPr>
          <w:color w:val="auto"/>
        </w:rPr>
        <w:t xml:space="preserve"> red</w:t>
      </w:r>
      <w:r w:rsidR="00287E78" w:rsidRPr="005B7D62">
        <w:rPr>
          <w:color w:val="auto"/>
        </w:rPr>
        <w:t xml:space="preserve"> risks </w:t>
      </w:r>
      <w:r w:rsidR="00952FBA" w:rsidRPr="005B7D62">
        <w:rPr>
          <w:color w:val="auto"/>
        </w:rPr>
        <w:t>are</w:t>
      </w:r>
      <w:r w:rsidR="00FA10A6" w:rsidRPr="005B7D62">
        <w:rPr>
          <w:color w:val="auto"/>
        </w:rPr>
        <w:t xml:space="preserve"> as follows:</w:t>
      </w:r>
    </w:p>
    <w:p w14:paraId="597BA393" w14:textId="77777777" w:rsidR="00415FA3" w:rsidRDefault="00601A34" w:rsidP="00265A3A">
      <w:pPr>
        <w:pStyle w:val="Bulletpoints"/>
        <w:tabs>
          <w:tab w:val="clear" w:pos="993"/>
        </w:tabs>
        <w:ind w:left="1276" w:hanging="425"/>
      </w:pPr>
      <w:r w:rsidRPr="00AD4288">
        <w:rPr>
          <w:b/>
          <w:bCs/>
        </w:rPr>
        <w:t xml:space="preserve">Financial </w:t>
      </w:r>
      <w:r w:rsidR="00003856">
        <w:rPr>
          <w:b/>
          <w:bCs/>
        </w:rPr>
        <w:t>s</w:t>
      </w:r>
      <w:r w:rsidRPr="00AD4288">
        <w:rPr>
          <w:b/>
          <w:bCs/>
        </w:rPr>
        <w:t>tability</w:t>
      </w:r>
      <w:r w:rsidRPr="00AD4288">
        <w:t xml:space="preserve"> – </w:t>
      </w:r>
      <w:r w:rsidR="004061A5">
        <w:t xml:space="preserve">this risk concerns the Council’s capacity to deliver its strategic plans and corporate priorities under increasing financial pressure. </w:t>
      </w:r>
    </w:p>
    <w:p w14:paraId="5613888D" w14:textId="21FBF1E5" w:rsidR="004061A5" w:rsidRDefault="004061A5" w:rsidP="001A76FE">
      <w:pPr>
        <w:pStyle w:val="Bulletpoints"/>
        <w:numPr>
          <w:ilvl w:val="0"/>
          <w:numId w:val="0"/>
        </w:numPr>
        <w:tabs>
          <w:tab w:val="clear" w:pos="993"/>
        </w:tabs>
        <w:ind w:left="1276"/>
      </w:pPr>
      <w:r>
        <w:t>Key contributing factors include:</w:t>
      </w:r>
    </w:p>
    <w:p w14:paraId="7CDCB229" w14:textId="10975334" w:rsidR="004061A5" w:rsidRPr="00C66425" w:rsidRDefault="004061A5" w:rsidP="00265A3A">
      <w:pPr>
        <w:pStyle w:val="ListParagraph"/>
        <w:numPr>
          <w:ilvl w:val="2"/>
          <w:numId w:val="14"/>
        </w:numPr>
        <w:tabs>
          <w:tab w:val="clear" w:pos="426"/>
        </w:tabs>
        <w:ind w:left="1701" w:hanging="425"/>
      </w:pPr>
      <w:r w:rsidRPr="00C66425">
        <w:t>Volatility in income and expenditure</w:t>
      </w:r>
    </w:p>
    <w:p w14:paraId="0C1E4752" w14:textId="2C1DAD5E" w:rsidR="004061A5" w:rsidRPr="00C66425" w:rsidRDefault="004061A5" w:rsidP="00265A3A">
      <w:pPr>
        <w:pStyle w:val="ListParagraph"/>
        <w:numPr>
          <w:ilvl w:val="2"/>
          <w:numId w:val="14"/>
        </w:numPr>
        <w:tabs>
          <w:tab w:val="clear" w:pos="426"/>
        </w:tabs>
        <w:ind w:left="1701" w:hanging="425"/>
      </w:pPr>
      <w:r w:rsidRPr="00C66425">
        <w:t>Inflation-driven cost escalation, affecting materials for capital projects</w:t>
      </w:r>
    </w:p>
    <w:p w14:paraId="02F4A755" w14:textId="11E02A92" w:rsidR="004061A5" w:rsidRPr="00C66425" w:rsidRDefault="004061A5" w:rsidP="00265A3A">
      <w:pPr>
        <w:pStyle w:val="ListParagraph"/>
        <w:numPr>
          <w:ilvl w:val="2"/>
          <w:numId w:val="14"/>
        </w:numPr>
        <w:tabs>
          <w:tab w:val="clear" w:pos="426"/>
        </w:tabs>
        <w:ind w:left="1701" w:hanging="425"/>
      </w:pPr>
      <w:r w:rsidRPr="00C66425">
        <w:t>Rising service demands, such as temporary accommodation</w:t>
      </w:r>
    </w:p>
    <w:p w14:paraId="3BD21095" w14:textId="77777777" w:rsidR="00C66425" w:rsidRDefault="004061A5" w:rsidP="00265A3A">
      <w:pPr>
        <w:ind w:left="1276"/>
      </w:pPr>
      <w:r w:rsidRPr="00C66425">
        <w:t xml:space="preserve">Compounding pressures on the Oxford model are a more challenging client, inflationary increases incurred by Oxford Direct Services, and a need for </w:t>
      </w:r>
      <w:proofErr w:type="spellStart"/>
      <w:r w:rsidRPr="00C66425">
        <w:t>O</w:t>
      </w:r>
      <w:r w:rsidR="00C66425">
        <w:t>x</w:t>
      </w:r>
      <w:r w:rsidRPr="00C66425">
        <w:t>Place</w:t>
      </w:r>
      <w:proofErr w:type="spellEnd"/>
      <w:r w:rsidRPr="00C66425">
        <w:t xml:space="preserve"> to refresh the business plan for developments once the current plan expires in 2033.</w:t>
      </w:r>
    </w:p>
    <w:p w14:paraId="2AD96220" w14:textId="77777777" w:rsidR="00C66425" w:rsidRDefault="004061A5" w:rsidP="00265A3A">
      <w:pPr>
        <w:ind w:left="1276"/>
      </w:pPr>
      <w:r>
        <w:t>Broader economic weakness may also depress income streams such as commercial rent and business rates. Finally, insufficient governance could increase the risk of overspending and impair the Council’s ability to realise required savings</w:t>
      </w:r>
    </w:p>
    <w:p w14:paraId="2F8BC755" w14:textId="7A47BCFB" w:rsidR="00C77025" w:rsidRPr="00C77025" w:rsidRDefault="005B7D62" w:rsidP="00265A3A">
      <w:pPr>
        <w:pStyle w:val="Bulletpoints"/>
        <w:numPr>
          <w:ilvl w:val="0"/>
          <w:numId w:val="43"/>
        </w:numPr>
        <w:tabs>
          <w:tab w:val="clear" w:pos="993"/>
        </w:tabs>
        <w:ind w:left="1276" w:hanging="425"/>
      </w:pPr>
      <w:r w:rsidRPr="0056233A">
        <w:rPr>
          <w:b/>
          <w:bCs/>
        </w:rPr>
        <w:t>Flood</w:t>
      </w:r>
      <w:r w:rsidR="0056233A" w:rsidRPr="0056233A">
        <w:rPr>
          <w:b/>
          <w:bCs/>
        </w:rPr>
        <w:t xml:space="preserve"> </w:t>
      </w:r>
      <w:r w:rsidR="0056233A" w:rsidRPr="0056233A">
        <w:t>- p</w:t>
      </w:r>
      <w:r w:rsidR="00C77025" w:rsidRPr="0056233A">
        <w:t>reviously</w:t>
      </w:r>
      <w:r w:rsidR="00C77025" w:rsidRPr="00C77025">
        <w:t>, the Council categorised all types of emergencies under a single Civil Emergencies risk. This new risk focuses on flooding, highlighting concerns over the Council's ability to respond effectively to a major flooding incident. An inadequate response could significantly compromise the Council's capacity to manage the situation.</w:t>
      </w:r>
    </w:p>
    <w:p w14:paraId="6A5F13F9" w14:textId="24063F9D" w:rsidR="00C77025" w:rsidRPr="00C77025" w:rsidRDefault="005B7D62" w:rsidP="00265A3A">
      <w:pPr>
        <w:pStyle w:val="Bulletpoints"/>
        <w:numPr>
          <w:ilvl w:val="0"/>
          <w:numId w:val="43"/>
        </w:numPr>
        <w:tabs>
          <w:tab w:val="clear" w:pos="993"/>
        </w:tabs>
        <w:ind w:left="1276" w:hanging="425"/>
      </w:pPr>
      <w:r w:rsidRPr="0056233A">
        <w:rPr>
          <w:b/>
          <w:bCs/>
        </w:rPr>
        <w:t>A utilities infrastructure that does not meet the needs of the city</w:t>
      </w:r>
      <w:r w:rsidR="0056233A" w:rsidRPr="0056233A">
        <w:rPr>
          <w:b/>
          <w:bCs/>
        </w:rPr>
        <w:t xml:space="preserve"> </w:t>
      </w:r>
      <w:r w:rsidR="0056233A" w:rsidRPr="0056233A">
        <w:t>– this</w:t>
      </w:r>
      <w:r w:rsidR="0056233A" w:rsidRPr="0056233A">
        <w:rPr>
          <w:b/>
          <w:bCs/>
        </w:rPr>
        <w:t xml:space="preserve"> </w:t>
      </w:r>
      <w:r w:rsidR="00C77025" w:rsidRPr="00C77025">
        <w:t>risk identifies that without further investment and partnership working, the city's utility infrastructure will come under increasing strain, adversely impacting</w:t>
      </w:r>
      <w:r w:rsidR="00C77025">
        <w:t xml:space="preserve"> </w:t>
      </w:r>
      <w:r w:rsidR="00C77025" w:rsidRPr="00C77025">
        <w:t>citizens' well-being and the city's prosperity</w:t>
      </w:r>
    </w:p>
    <w:p w14:paraId="2358CD92" w14:textId="78BE29CB" w:rsidR="0056233A" w:rsidRPr="0056233A" w:rsidRDefault="005B7D62" w:rsidP="00265A3A">
      <w:pPr>
        <w:pStyle w:val="Bulletpoints"/>
        <w:numPr>
          <w:ilvl w:val="0"/>
          <w:numId w:val="43"/>
        </w:numPr>
        <w:tabs>
          <w:tab w:val="clear" w:pos="993"/>
        </w:tabs>
        <w:ind w:left="1276" w:hanging="425"/>
      </w:pPr>
      <w:r w:rsidRPr="0056233A">
        <w:rPr>
          <w:b/>
          <w:bCs/>
        </w:rPr>
        <w:t>Cybersecurity and IT infrastructure resilience</w:t>
      </w:r>
      <w:r w:rsidR="0056233A">
        <w:t xml:space="preserve"> - t</w:t>
      </w:r>
      <w:r w:rsidR="0056233A" w:rsidRPr="0056233A">
        <w:t>his single risk replaces the previous separate risks for cybersecurity and IT infrastructure.</w:t>
      </w:r>
    </w:p>
    <w:p w14:paraId="4FED0BAC" w14:textId="77777777" w:rsidR="0056233A" w:rsidRPr="0056233A" w:rsidRDefault="005B7D62" w:rsidP="00265A3A">
      <w:pPr>
        <w:pStyle w:val="Bulletpoints"/>
        <w:tabs>
          <w:tab w:val="clear" w:pos="993"/>
        </w:tabs>
        <w:ind w:left="1276" w:hanging="425"/>
        <w:rPr>
          <w:b/>
          <w:bCs/>
        </w:rPr>
      </w:pPr>
      <w:r w:rsidRPr="0056233A">
        <w:rPr>
          <w:b/>
          <w:bCs/>
        </w:rPr>
        <w:t>Addressing the causes and impacts of climate change</w:t>
      </w:r>
      <w:r w:rsidR="00A50EE8" w:rsidRPr="0056233A">
        <w:rPr>
          <w:b/>
          <w:bCs/>
        </w:rPr>
        <w:t xml:space="preserve"> </w:t>
      </w:r>
      <w:r w:rsidR="00A50EE8" w:rsidRPr="00C77025">
        <w:t xml:space="preserve">– </w:t>
      </w:r>
      <w:r w:rsidR="0056233A">
        <w:t>t</w:t>
      </w:r>
      <w:r w:rsidR="0056233A" w:rsidRPr="0056233A">
        <w:t>his risk, which consolidates the former climate change emergency and climate change adaptation risks, relates to factors that could prevent the Council from prioritising efforts to tackle the causes of climate change and mitigate its effects. Failure to do so would harm both residents and the environment.</w:t>
      </w:r>
    </w:p>
    <w:p w14:paraId="67394486" w14:textId="23965A89" w:rsidR="005B7D62" w:rsidRPr="00FC71D8" w:rsidRDefault="005B7D62" w:rsidP="00FC71D8">
      <w:pPr>
        <w:pStyle w:val="Bulletpoints"/>
        <w:tabs>
          <w:tab w:val="clear" w:pos="993"/>
        </w:tabs>
        <w:ind w:left="1276" w:hanging="425"/>
        <w:rPr>
          <w:b/>
          <w:bCs/>
        </w:rPr>
      </w:pPr>
      <w:r w:rsidRPr="0056233A">
        <w:rPr>
          <w:b/>
          <w:bCs/>
        </w:rPr>
        <w:lastRenderedPageBreak/>
        <w:t>A failure to deliver Temporary Accommodation strategies to meet demand and increases in homelessness</w:t>
      </w:r>
      <w:r w:rsidR="0056233A">
        <w:t xml:space="preserve"> - </w:t>
      </w:r>
      <w:r w:rsidR="0056233A" w:rsidRPr="0056233A">
        <w:t>This risk assesses the potential consequences if the Council fails to implement effective mitigation measures to control temporary accommodation costs or develop contingency plans to meet the increasing demand for homelessness prevention. It also considers the challenges of securing an adequate housing supply through the private rented sector and the Council’s development programme.</w:t>
      </w:r>
    </w:p>
    <w:bookmarkEnd w:id="2"/>
    <w:p w14:paraId="2B21A949" w14:textId="098B47E9" w:rsidR="00913543" w:rsidRDefault="00913543" w:rsidP="00B37A6D">
      <w:pPr>
        <w:pStyle w:val="ListParagraph"/>
        <w:numPr>
          <w:ilvl w:val="0"/>
          <w:numId w:val="5"/>
        </w:numPr>
        <w:tabs>
          <w:tab w:val="clear" w:pos="426"/>
        </w:tabs>
        <w:ind w:left="851" w:hanging="567"/>
        <w:rPr>
          <w:color w:val="auto"/>
        </w:rPr>
      </w:pPr>
      <w:r>
        <w:rPr>
          <w:color w:val="auto"/>
        </w:rPr>
        <w:t>The current corporate Amber risks are:</w:t>
      </w:r>
    </w:p>
    <w:p w14:paraId="6CC6F877" w14:textId="04362232" w:rsidR="00913543" w:rsidRDefault="00913543" w:rsidP="00FC71D8">
      <w:pPr>
        <w:pStyle w:val="ListParagraph"/>
        <w:numPr>
          <w:ilvl w:val="0"/>
          <w:numId w:val="44"/>
        </w:numPr>
        <w:ind w:left="1276" w:hanging="425"/>
        <w:contextualSpacing/>
        <w:rPr>
          <w:color w:val="auto"/>
        </w:rPr>
      </w:pPr>
      <w:r>
        <w:rPr>
          <w:color w:val="auto"/>
        </w:rPr>
        <w:t>Workforce stability</w:t>
      </w:r>
    </w:p>
    <w:p w14:paraId="13285217" w14:textId="5F9B76F2" w:rsidR="00913543" w:rsidRDefault="00913543" w:rsidP="00FC71D8">
      <w:pPr>
        <w:pStyle w:val="ListParagraph"/>
        <w:numPr>
          <w:ilvl w:val="0"/>
          <w:numId w:val="44"/>
        </w:numPr>
        <w:ind w:left="1276" w:hanging="425"/>
        <w:contextualSpacing/>
        <w:rPr>
          <w:color w:val="auto"/>
        </w:rPr>
      </w:pPr>
      <w:r>
        <w:rPr>
          <w:color w:val="auto"/>
        </w:rPr>
        <w:t>Failure to comply with governance requirements</w:t>
      </w:r>
    </w:p>
    <w:p w14:paraId="283D841F" w14:textId="3F9384F9" w:rsidR="00913543" w:rsidRDefault="00913543" w:rsidP="00FC71D8">
      <w:pPr>
        <w:pStyle w:val="ListParagraph"/>
        <w:numPr>
          <w:ilvl w:val="0"/>
          <w:numId w:val="44"/>
        </w:numPr>
        <w:ind w:left="1276" w:hanging="425"/>
        <w:contextualSpacing/>
        <w:rPr>
          <w:color w:val="auto"/>
        </w:rPr>
      </w:pPr>
      <w:r>
        <w:rPr>
          <w:color w:val="auto"/>
        </w:rPr>
        <w:t xml:space="preserve">Political and partnership landscape – Local and National </w:t>
      </w:r>
    </w:p>
    <w:p w14:paraId="3C0DEFB7" w14:textId="2B34917D" w:rsidR="00913543" w:rsidRDefault="00913543" w:rsidP="00FC71D8">
      <w:pPr>
        <w:pStyle w:val="ListParagraph"/>
        <w:numPr>
          <w:ilvl w:val="0"/>
          <w:numId w:val="44"/>
        </w:numPr>
        <w:ind w:left="1276" w:hanging="425"/>
        <w:contextualSpacing/>
        <w:rPr>
          <w:color w:val="auto"/>
        </w:rPr>
      </w:pPr>
      <w:r>
        <w:rPr>
          <w:color w:val="auto"/>
        </w:rPr>
        <w:t>Increased demand for services</w:t>
      </w:r>
    </w:p>
    <w:p w14:paraId="0BC7938D" w14:textId="42C6B90E" w:rsidR="00913543" w:rsidRDefault="00913543" w:rsidP="00FC71D8">
      <w:pPr>
        <w:pStyle w:val="ListParagraph"/>
        <w:numPr>
          <w:ilvl w:val="0"/>
          <w:numId w:val="44"/>
        </w:numPr>
        <w:ind w:left="1276" w:hanging="425"/>
        <w:contextualSpacing/>
        <w:rPr>
          <w:color w:val="auto"/>
        </w:rPr>
      </w:pPr>
      <w:r w:rsidRPr="00913543">
        <w:rPr>
          <w:color w:val="auto"/>
        </w:rPr>
        <w:t>Adverse weather, terrorism, and utility outage</w:t>
      </w:r>
    </w:p>
    <w:p w14:paraId="52F882D6" w14:textId="77C21218" w:rsidR="00913543" w:rsidRDefault="00913543" w:rsidP="00FC71D8">
      <w:pPr>
        <w:pStyle w:val="ListParagraph"/>
        <w:numPr>
          <w:ilvl w:val="0"/>
          <w:numId w:val="44"/>
        </w:numPr>
        <w:ind w:left="1276" w:hanging="425"/>
        <w:contextualSpacing/>
        <w:rPr>
          <w:color w:val="auto"/>
        </w:rPr>
      </w:pPr>
      <w:r w:rsidRPr="00913543">
        <w:rPr>
          <w:color w:val="auto"/>
        </w:rPr>
        <w:t>The workforce and public are healthy and safe</w:t>
      </w:r>
    </w:p>
    <w:p w14:paraId="1FBFD41B" w14:textId="7FFA37C7" w:rsidR="00913543" w:rsidRDefault="00913543" w:rsidP="00FC71D8">
      <w:pPr>
        <w:pStyle w:val="ListParagraph"/>
        <w:numPr>
          <w:ilvl w:val="0"/>
          <w:numId w:val="44"/>
        </w:numPr>
        <w:ind w:left="1276" w:hanging="425"/>
        <w:contextualSpacing/>
        <w:rPr>
          <w:color w:val="auto"/>
        </w:rPr>
      </w:pPr>
      <w:r w:rsidRPr="00913543">
        <w:rPr>
          <w:color w:val="auto"/>
        </w:rPr>
        <w:t>A failure to deliver housing priorities and business plans</w:t>
      </w:r>
    </w:p>
    <w:p w14:paraId="596A04FF" w14:textId="534AF7CC" w:rsidR="00913543" w:rsidRPr="00913543" w:rsidRDefault="00913543" w:rsidP="00FC71D8">
      <w:pPr>
        <w:pStyle w:val="ListParagraph"/>
        <w:numPr>
          <w:ilvl w:val="0"/>
          <w:numId w:val="44"/>
        </w:numPr>
        <w:ind w:left="1276" w:hanging="425"/>
        <w:rPr>
          <w:color w:val="auto"/>
        </w:rPr>
      </w:pPr>
      <w:r w:rsidRPr="00913543">
        <w:rPr>
          <w:color w:val="auto"/>
        </w:rPr>
        <w:t>Failure to meet Social Housing (Regulation) Act customer and consumer standards</w:t>
      </w:r>
    </w:p>
    <w:p w14:paraId="376BC699" w14:textId="49550989" w:rsidR="00913543" w:rsidRDefault="00913543" w:rsidP="00B37A6D">
      <w:pPr>
        <w:pStyle w:val="ListParagraph"/>
        <w:numPr>
          <w:ilvl w:val="0"/>
          <w:numId w:val="5"/>
        </w:numPr>
        <w:tabs>
          <w:tab w:val="clear" w:pos="426"/>
        </w:tabs>
        <w:ind w:left="851" w:hanging="567"/>
        <w:rPr>
          <w:color w:val="auto"/>
        </w:rPr>
      </w:pPr>
      <w:r>
        <w:rPr>
          <w:color w:val="auto"/>
        </w:rPr>
        <w:t xml:space="preserve">There are currently no corporate </w:t>
      </w:r>
      <w:proofErr w:type="gramStart"/>
      <w:r>
        <w:rPr>
          <w:color w:val="auto"/>
        </w:rPr>
        <w:t>Green</w:t>
      </w:r>
      <w:proofErr w:type="gramEnd"/>
      <w:r>
        <w:rPr>
          <w:color w:val="auto"/>
        </w:rPr>
        <w:t xml:space="preserve"> risks</w:t>
      </w:r>
    </w:p>
    <w:p w14:paraId="3CEDAC62" w14:textId="3BFF1972" w:rsidR="005727B7" w:rsidRDefault="00A51AFF" w:rsidP="00F95CEB">
      <w:pPr>
        <w:pStyle w:val="ListParagraph"/>
        <w:numPr>
          <w:ilvl w:val="0"/>
          <w:numId w:val="5"/>
        </w:numPr>
        <w:tabs>
          <w:tab w:val="clear" w:pos="426"/>
        </w:tabs>
        <w:ind w:left="851" w:hanging="567"/>
        <w:rPr>
          <w:color w:val="auto"/>
        </w:rPr>
      </w:pPr>
      <w:r w:rsidRPr="005727B7">
        <w:rPr>
          <w:color w:val="auto"/>
        </w:rPr>
        <w:t xml:space="preserve">As part of the service planning process, all service risks are reviewed. </w:t>
      </w:r>
      <w:r w:rsidR="002E10CB" w:rsidRPr="005727B7">
        <w:rPr>
          <w:color w:val="auto"/>
        </w:rPr>
        <w:t>Those no longer relevant are deleted, and any new ones added.</w:t>
      </w:r>
      <w:r w:rsidR="005727B7">
        <w:rPr>
          <w:color w:val="auto"/>
        </w:rPr>
        <w:t xml:space="preserve"> T</w:t>
      </w:r>
      <w:r w:rsidR="005727B7" w:rsidRPr="005727B7">
        <w:rPr>
          <w:color w:val="auto"/>
        </w:rPr>
        <w:t>he table below</w:t>
      </w:r>
      <w:r w:rsidR="005727B7">
        <w:rPr>
          <w:color w:val="auto"/>
        </w:rPr>
        <w:t xml:space="preserve"> </w:t>
      </w:r>
      <w:r w:rsidR="005727B7" w:rsidRPr="005727B7">
        <w:rPr>
          <w:color w:val="auto"/>
        </w:rPr>
        <w:t xml:space="preserve">shows the number of service risks </w:t>
      </w:r>
      <w:proofErr w:type="gramStart"/>
      <w:r w:rsidR="005727B7" w:rsidRPr="005727B7">
        <w:rPr>
          <w:color w:val="auto"/>
        </w:rPr>
        <w:t>at</w:t>
      </w:r>
      <w:proofErr w:type="gramEnd"/>
      <w:r w:rsidR="005727B7" w:rsidRPr="005727B7">
        <w:rPr>
          <w:color w:val="auto"/>
        </w:rPr>
        <w:t xml:space="preserve"> 30 June 2025 compared with the previous reported quarters.</w:t>
      </w:r>
    </w:p>
    <w:tbl>
      <w:tblPr>
        <w:tblW w:w="6607" w:type="dxa"/>
        <w:tblInd w:w="827" w:type="dxa"/>
        <w:tblLook w:val="04A0" w:firstRow="1" w:lastRow="0" w:firstColumn="1" w:lastColumn="0" w:noHBand="0" w:noVBand="1"/>
      </w:tblPr>
      <w:tblGrid>
        <w:gridCol w:w="2240"/>
        <w:gridCol w:w="1084"/>
        <w:gridCol w:w="1084"/>
        <w:gridCol w:w="1084"/>
        <w:gridCol w:w="1115"/>
      </w:tblGrid>
      <w:tr w:rsidR="005727B7" w:rsidRPr="009C66E3" w14:paraId="7E430982" w14:textId="77777777" w:rsidTr="005727B7">
        <w:trPr>
          <w:trHeight w:val="312"/>
        </w:trPr>
        <w:tc>
          <w:tcPr>
            <w:tcW w:w="2240" w:type="dxa"/>
            <w:vMerge w:val="restart"/>
            <w:tcBorders>
              <w:top w:val="single" w:sz="8" w:space="0" w:color="000000"/>
              <w:left w:val="single" w:sz="8" w:space="0" w:color="000000"/>
              <w:bottom w:val="single" w:sz="8" w:space="0" w:color="000000"/>
              <w:right w:val="single" w:sz="8" w:space="0" w:color="000000"/>
            </w:tcBorders>
            <w:noWrap/>
            <w:vAlign w:val="center"/>
          </w:tcPr>
          <w:p w14:paraId="352454B9" w14:textId="77777777" w:rsidR="005727B7" w:rsidRPr="009C66E3" w:rsidRDefault="005727B7" w:rsidP="003A5813">
            <w:pPr>
              <w:spacing w:after="0"/>
              <w:jc w:val="center"/>
              <w:rPr>
                <w:rFonts w:cs="Arial"/>
                <w:b/>
                <w:bCs/>
              </w:rPr>
            </w:pPr>
            <w:r>
              <w:rPr>
                <w:rFonts w:cs="Arial"/>
                <w:b/>
                <w:bCs/>
              </w:rPr>
              <w:t>Current Risk</w:t>
            </w:r>
          </w:p>
        </w:tc>
        <w:tc>
          <w:tcPr>
            <w:tcW w:w="1084" w:type="dxa"/>
            <w:tcBorders>
              <w:top w:val="single" w:sz="8" w:space="0" w:color="000000"/>
              <w:left w:val="nil"/>
              <w:bottom w:val="nil"/>
              <w:right w:val="single" w:sz="8" w:space="0" w:color="000000"/>
            </w:tcBorders>
            <w:vAlign w:val="center"/>
          </w:tcPr>
          <w:p w14:paraId="4DD30F2E" w14:textId="77777777" w:rsidR="005727B7" w:rsidRDefault="005727B7" w:rsidP="003A5813">
            <w:pPr>
              <w:spacing w:after="0"/>
              <w:jc w:val="center"/>
              <w:rPr>
                <w:rFonts w:cs="Arial"/>
                <w:b/>
                <w:bCs/>
              </w:rPr>
            </w:pPr>
            <w:r>
              <w:rPr>
                <w:rFonts w:cs="Arial"/>
                <w:b/>
                <w:bCs/>
              </w:rPr>
              <w:t>Q1</w:t>
            </w:r>
          </w:p>
          <w:p w14:paraId="34FA269D" w14:textId="77777777" w:rsidR="005727B7" w:rsidRPr="009C66E3" w:rsidRDefault="005727B7" w:rsidP="003A5813">
            <w:pPr>
              <w:spacing w:after="0"/>
              <w:jc w:val="center"/>
              <w:rPr>
                <w:rFonts w:cs="Arial"/>
                <w:b/>
                <w:bCs/>
              </w:rPr>
            </w:pPr>
            <w:r>
              <w:rPr>
                <w:rFonts w:cs="Arial"/>
                <w:b/>
                <w:bCs/>
              </w:rPr>
              <w:t>2024/25</w:t>
            </w:r>
          </w:p>
        </w:tc>
        <w:tc>
          <w:tcPr>
            <w:tcW w:w="1084" w:type="dxa"/>
            <w:tcBorders>
              <w:top w:val="single" w:sz="8" w:space="0" w:color="000000"/>
              <w:left w:val="nil"/>
              <w:bottom w:val="nil"/>
              <w:right w:val="single" w:sz="8" w:space="0" w:color="000000"/>
            </w:tcBorders>
            <w:vAlign w:val="center"/>
          </w:tcPr>
          <w:p w14:paraId="7BA812C6" w14:textId="77777777" w:rsidR="005727B7" w:rsidRDefault="005727B7" w:rsidP="003A5813">
            <w:pPr>
              <w:spacing w:after="0"/>
              <w:jc w:val="center"/>
              <w:rPr>
                <w:rFonts w:cs="Arial"/>
                <w:b/>
                <w:bCs/>
              </w:rPr>
            </w:pPr>
            <w:r>
              <w:rPr>
                <w:rFonts w:cs="Arial"/>
                <w:b/>
                <w:bCs/>
              </w:rPr>
              <w:t>Q3</w:t>
            </w:r>
          </w:p>
          <w:p w14:paraId="79E5298A" w14:textId="77777777" w:rsidR="005727B7" w:rsidRPr="009C66E3" w:rsidRDefault="005727B7" w:rsidP="003A5813">
            <w:pPr>
              <w:spacing w:after="0"/>
              <w:jc w:val="center"/>
              <w:rPr>
                <w:rFonts w:cs="Arial"/>
                <w:b/>
                <w:bCs/>
              </w:rPr>
            </w:pPr>
            <w:r>
              <w:rPr>
                <w:rFonts w:cs="Arial"/>
                <w:b/>
                <w:bCs/>
              </w:rPr>
              <w:t>2024/25</w:t>
            </w:r>
          </w:p>
        </w:tc>
        <w:tc>
          <w:tcPr>
            <w:tcW w:w="1084" w:type="dxa"/>
            <w:tcBorders>
              <w:top w:val="single" w:sz="8" w:space="0" w:color="000000"/>
              <w:left w:val="nil"/>
              <w:bottom w:val="nil"/>
              <w:right w:val="single" w:sz="8" w:space="0" w:color="000000"/>
            </w:tcBorders>
            <w:vAlign w:val="center"/>
          </w:tcPr>
          <w:p w14:paraId="67779DD3" w14:textId="77777777" w:rsidR="005727B7" w:rsidRDefault="005727B7" w:rsidP="003A5813">
            <w:pPr>
              <w:spacing w:after="0"/>
              <w:jc w:val="center"/>
              <w:rPr>
                <w:rFonts w:cs="Arial"/>
                <w:b/>
                <w:bCs/>
              </w:rPr>
            </w:pPr>
            <w:r>
              <w:rPr>
                <w:rFonts w:cs="Arial"/>
                <w:b/>
                <w:bCs/>
              </w:rPr>
              <w:t>Q4</w:t>
            </w:r>
          </w:p>
          <w:p w14:paraId="72EE89E1" w14:textId="77777777" w:rsidR="005727B7" w:rsidRPr="009C66E3" w:rsidRDefault="005727B7" w:rsidP="003A5813">
            <w:pPr>
              <w:spacing w:after="0"/>
              <w:jc w:val="center"/>
              <w:rPr>
                <w:rFonts w:cs="Arial"/>
                <w:b/>
                <w:bCs/>
              </w:rPr>
            </w:pPr>
            <w:r>
              <w:rPr>
                <w:rFonts w:cs="Arial"/>
                <w:b/>
                <w:bCs/>
              </w:rPr>
              <w:t>2024/25</w:t>
            </w:r>
          </w:p>
        </w:tc>
        <w:tc>
          <w:tcPr>
            <w:tcW w:w="1115" w:type="dxa"/>
            <w:tcBorders>
              <w:top w:val="single" w:sz="8" w:space="0" w:color="000000"/>
              <w:left w:val="nil"/>
              <w:bottom w:val="nil"/>
              <w:right w:val="single" w:sz="8" w:space="0" w:color="000000"/>
            </w:tcBorders>
            <w:vAlign w:val="center"/>
          </w:tcPr>
          <w:p w14:paraId="442C81F6" w14:textId="77777777" w:rsidR="005727B7" w:rsidRDefault="005727B7" w:rsidP="003A5813">
            <w:pPr>
              <w:spacing w:after="0"/>
              <w:jc w:val="center"/>
              <w:rPr>
                <w:rFonts w:cs="Arial"/>
                <w:b/>
                <w:bCs/>
              </w:rPr>
            </w:pPr>
            <w:r>
              <w:rPr>
                <w:rFonts w:cs="Arial"/>
                <w:b/>
                <w:bCs/>
              </w:rPr>
              <w:t>Q1</w:t>
            </w:r>
          </w:p>
          <w:p w14:paraId="7A8292B4" w14:textId="77777777" w:rsidR="005727B7" w:rsidRPr="009C66E3" w:rsidRDefault="005727B7" w:rsidP="003A5813">
            <w:pPr>
              <w:spacing w:after="0"/>
              <w:jc w:val="center"/>
              <w:rPr>
                <w:rFonts w:cs="Arial"/>
                <w:b/>
                <w:bCs/>
              </w:rPr>
            </w:pPr>
            <w:r>
              <w:rPr>
                <w:rFonts w:cs="Arial"/>
                <w:b/>
                <w:bCs/>
              </w:rPr>
              <w:t>2025/26</w:t>
            </w:r>
          </w:p>
        </w:tc>
      </w:tr>
      <w:tr w:rsidR="005727B7" w:rsidRPr="009C66E3" w14:paraId="0762DBAE" w14:textId="77777777" w:rsidTr="005727B7">
        <w:trPr>
          <w:trHeight w:val="324"/>
        </w:trPr>
        <w:tc>
          <w:tcPr>
            <w:tcW w:w="2240" w:type="dxa"/>
            <w:vMerge/>
            <w:tcBorders>
              <w:top w:val="single" w:sz="8" w:space="0" w:color="000000"/>
              <w:left w:val="single" w:sz="8" w:space="0" w:color="000000"/>
              <w:bottom w:val="single" w:sz="8" w:space="0" w:color="000000"/>
              <w:right w:val="single" w:sz="8" w:space="0" w:color="000000"/>
            </w:tcBorders>
            <w:vAlign w:val="center"/>
          </w:tcPr>
          <w:p w14:paraId="6CD0C5D2" w14:textId="77777777" w:rsidR="005727B7" w:rsidRPr="009C66E3" w:rsidRDefault="005727B7" w:rsidP="003A5813">
            <w:pPr>
              <w:spacing w:after="0"/>
              <w:rPr>
                <w:rFonts w:cs="Arial"/>
                <w:b/>
                <w:bCs/>
              </w:rPr>
            </w:pPr>
          </w:p>
        </w:tc>
        <w:tc>
          <w:tcPr>
            <w:tcW w:w="1084" w:type="dxa"/>
            <w:tcBorders>
              <w:top w:val="nil"/>
              <w:left w:val="nil"/>
              <w:bottom w:val="single" w:sz="8" w:space="0" w:color="000000"/>
              <w:right w:val="single" w:sz="8" w:space="0" w:color="000000"/>
            </w:tcBorders>
            <w:vAlign w:val="center"/>
          </w:tcPr>
          <w:p w14:paraId="20420466" w14:textId="77777777" w:rsidR="005727B7" w:rsidRPr="009C66E3" w:rsidRDefault="005727B7" w:rsidP="003A5813">
            <w:pPr>
              <w:spacing w:after="0"/>
              <w:rPr>
                <w:rFonts w:cs="Arial"/>
                <w:b/>
                <w:bCs/>
              </w:rPr>
            </w:pPr>
          </w:p>
        </w:tc>
        <w:tc>
          <w:tcPr>
            <w:tcW w:w="1084" w:type="dxa"/>
            <w:tcBorders>
              <w:top w:val="nil"/>
              <w:left w:val="nil"/>
              <w:bottom w:val="single" w:sz="8" w:space="0" w:color="000000"/>
              <w:right w:val="single" w:sz="8" w:space="0" w:color="000000"/>
            </w:tcBorders>
            <w:vAlign w:val="center"/>
          </w:tcPr>
          <w:p w14:paraId="1FAF8151" w14:textId="77777777" w:rsidR="005727B7" w:rsidRPr="009C66E3" w:rsidRDefault="005727B7" w:rsidP="003A5813">
            <w:pPr>
              <w:spacing w:after="0"/>
              <w:jc w:val="center"/>
              <w:rPr>
                <w:rFonts w:cs="Arial"/>
                <w:b/>
                <w:bCs/>
              </w:rPr>
            </w:pPr>
          </w:p>
        </w:tc>
        <w:tc>
          <w:tcPr>
            <w:tcW w:w="1084" w:type="dxa"/>
            <w:tcBorders>
              <w:top w:val="nil"/>
              <w:left w:val="nil"/>
              <w:bottom w:val="single" w:sz="8" w:space="0" w:color="000000"/>
              <w:right w:val="single" w:sz="8" w:space="0" w:color="000000"/>
            </w:tcBorders>
            <w:vAlign w:val="center"/>
          </w:tcPr>
          <w:p w14:paraId="2B00C61C" w14:textId="77777777" w:rsidR="005727B7" w:rsidRPr="009C66E3" w:rsidRDefault="005727B7" w:rsidP="003A5813">
            <w:pPr>
              <w:spacing w:after="0"/>
              <w:jc w:val="center"/>
              <w:rPr>
                <w:rFonts w:cs="Arial"/>
                <w:b/>
                <w:bCs/>
              </w:rPr>
            </w:pPr>
          </w:p>
        </w:tc>
        <w:tc>
          <w:tcPr>
            <w:tcW w:w="1115" w:type="dxa"/>
            <w:tcBorders>
              <w:top w:val="nil"/>
              <w:left w:val="nil"/>
              <w:bottom w:val="single" w:sz="8" w:space="0" w:color="000000"/>
              <w:right w:val="single" w:sz="8" w:space="0" w:color="000000"/>
            </w:tcBorders>
            <w:vAlign w:val="center"/>
          </w:tcPr>
          <w:p w14:paraId="57BCF72A" w14:textId="77777777" w:rsidR="005727B7" w:rsidRPr="009C66E3" w:rsidRDefault="005727B7" w:rsidP="003A5813">
            <w:pPr>
              <w:spacing w:after="0"/>
              <w:jc w:val="center"/>
              <w:rPr>
                <w:rFonts w:cs="Arial"/>
                <w:b/>
                <w:bCs/>
              </w:rPr>
            </w:pPr>
          </w:p>
        </w:tc>
      </w:tr>
      <w:tr w:rsidR="005727B7" w:rsidRPr="009C66E3" w14:paraId="3C5C91FB" w14:textId="77777777" w:rsidTr="005727B7">
        <w:trPr>
          <w:trHeight w:val="312"/>
        </w:trPr>
        <w:tc>
          <w:tcPr>
            <w:tcW w:w="2240" w:type="dxa"/>
            <w:tcBorders>
              <w:top w:val="nil"/>
              <w:left w:val="single" w:sz="8" w:space="0" w:color="000000"/>
              <w:bottom w:val="single" w:sz="8" w:space="0" w:color="000000"/>
              <w:right w:val="single" w:sz="8" w:space="0" w:color="000000"/>
            </w:tcBorders>
            <w:noWrap/>
            <w:vAlign w:val="center"/>
          </w:tcPr>
          <w:p w14:paraId="76925862" w14:textId="77777777" w:rsidR="005727B7" w:rsidRPr="009C66E3" w:rsidRDefault="005727B7" w:rsidP="003A5813">
            <w:pPr>
              <w:spacing w:after="0"/>
              <w:rPr>
                <w:rFonts w:cs="Arial"/>
              </w:rPr>
            </w:pPr>
            <w:r>
              <w:rPr>
                <w:rFonts w:cs="Arial"/>
              </w:rPr>
              <w:t>Red</w:t>
            </w:r>
          </w:p>
        </w:tc>
        <w:tc>
          <w:tcPr>
            <w:tcW w:w="1084" w:type="dxa"/>
            <w:tcBorders>
              <w:top w:val="nil"/>
              <w:left w:val="nil"/>
              <w:bottom w:val="single" w:sz="8" w:space="0" w:color="000000"/>
              <w:right w:val="single" w:sz="8" w:space="0" w:color="000000"/>
            </w:tcBorders>
            <w:vAlign w:val="center"/>
          </w:tcPr>
          <w:p w14:paraId="67558DF4" w14:textId="77777777" w:rsidR="005727B7" w:rsidRPr="009C66E3" w:rsidRDefault="005727B7" w:rsidP="003A5813">
            <w:pPr>
              <w:spacing w:after="0"/>
              <w:jc w:val="right"/>
              <w:rPr>
                <w:rFonts w:cs="Arial"/>
              </w:rPr>
            </w:pPr>
            <w:r>
              <w:rPr>
                <w:rFonts w:cs="Arial"/>
              </w:rPr>
              <w:t>10</w:t>
            </w:r>
          </w:p>
        </w:tc>
        <w:tc>
          <w:tcPr>
            <w:tcW w:w="1084" w:type="dxa"/>
            <w:tcBorders>
              <w:top w:val="nil"/>
              <w:left w:val="nil"/>
              <w:bottom w:val="single" w:sz="8" w:space="0" w:color="000000"/>
              <w:right w:val="single" w:sz="8" w:space="0" w:color="000000"/>
            </w:tcBorders>
            <w:vAlign w:val="center"/>
          </w:tcPr>
          <w:p w14:paraId="5833A846" w14:textId="77777777" w:rsidR="005727B7" w:rsidRPr="009C66E3" w:rsidRDefault="005727B7" w:rsidP="003A5813">
            <w:pPr>
              <w:spacing w:after="0"/>
              <w:jc w:val="right"/>
              <w:rPr>
                <w:rFonts w:cs="Arial"/>
              </w:rPr>
            </w:pPr>
            <w:r>
              <w:rPr>
                <w:rFonts w:cs="Arial"/>
              </w:rPr>
              <w:t>11</w:t>
            </w:r>
          </w:p>
        </w:tc>
        <w:tc>
          <w:tcPr>
            <w:tcW w:w="1084" w:type="dxa"/>
            <w:tcBorders>
              <w:top w:val="nil"/>
              <w:left w:val="nil"/>
              <w:bottom w:val="single" w:sz="8" w:space="0" w:color="000000"/>
              <w:right w:val="single" w:sz="8" w:space="0" w:color="000000"/>
            </w:tcBorders>
            <w:vAlign w:val="center"/>
          </w:tcPr>
          <w:p w14:paraId="50CB6F14" w14:textId="77777777" w:rsidR="005727B7" w:rsidRPr="009C66E3" w:rsidRDefault="005727B7" w:rsidP="003A5813">
            <w:pPr>
              <w:spacing w:after="0"/>
              <w:jc w:val="right"/>
              <w:rPr>
                <w:rFonts w:cs="Arial"/>
              </w:rPr>
            </w:pPr>
            <w:r>
              <w:rPr>
                <w:rFonts w:cs="Arial"/>
              </w:rPr>
              <w:t>11</w:t>
            </w:r>
          </w:p>
        </w:tc>
        <w:tc>
          <w:tcPr>
            <w:tcW w:w="1115" w:type="dxa"/>
            <w:tcBorders>
              <w:top w:val="nil"/>
              <w:left w:val="nil"/>
              <w:bottom w:val="single" w:sz="8" w:space="0" w:color="000000"/>
              <w:right w:val="single" w:sz="8" w:space="0" w:color="000000"/>
            </w:tcBorders>
            <w:vAlign w:val="center"/>
          </w:tcPr>
          <w:p w14:paraId="27713074" w14:textId="77777777" w:rsidR="005727B7" w:rsidRPr="009C66E3" w:rsidRDefault="005727B7" w:rsidP="003A5813">
            <w:pPr>
              <w:spacing w:after="0"/>
              <w:jc w:val="right"/>
              <w:rPr>
                <w:rFonts w:cs="Arial"/>
              </w:rPr>
            </w:pPr>
            <w:r>
              <w:rPr>
                <w:rFonts w:cs="Arial"/>
              </w:rPr>
              <w:t>10</w:t>
            </w:r>
          </w:p>
        </w:tc>
      </w:tr>
      <w:tr w:rsidR="005727B7" w:rsidRPr="009C66E3" w14:paraId="64E24E29" w14:textId="77777777" w:rsidTr="005727B7">
        <w:trPr>
          <w:trHeight w:val="312"/>
        </w:trPr>
        <w:tc>
          <w:tcPr>
            <w:tcW w:w="2240" w:type="dxa"/>
            <w:tcBorders>
              <w:top w:val="nil"/>
              <w:left w:val="single" w:sz="8" w:space="0" w:color="000000"/>
              <w:bottom w:val="single" w:sz="8" w:space="0" w:color="000000"/>
              <w:right w:val="single" w:sz="8" w:space="0" w:color="000000"/>
            </w:tcBorders>
            <w:noWrap/>
            <w:vAlign w:val="center"/>
          </w:tcPr>
          <w:p w14:paraId="46591ABB" w14:textId="77777777" w:rsidR="005727B7" w:rsidRPr="009C66E3" w:rsidRDefault="005727B7" w:rsidP="003A5813">
            <w:pPr>
              <w:spacing w:after="0"/>
              <w:rPr>
                <w:rFonts w:cs="Arial"/>
              </w:rPr>
            </w:pPr>
            <w:r>
              <w:rPr>
                <w:rFonts w:cs="Arial"/>
              </w:rPr>
              <w:t>Amber</w:t>
            </w:r>
          </w:p>
        </w:tc>
        <w:tc>
          <w:tcPr>
            <w:tcW w:w="1084" w:type="dxa"/>
            <w:tcBorders>
              <w:top w:val="nil"/>
              <w:left w:val="nil"/>
              <w:bottom w:val="single" w:sz="8" w:space="0" w:color="000000"/>
              <w:right w:val="single" w:sz="8" w:space="0" w:color="000000"/>
            </w:tcBorders>
            <w:vAlign w:val="center"/>
          </w:tcPr>
          <w:p w14:paraId="63635BE3" w14:textId="77777777" w:rsidR="005727B7" w:rsidRPr="009C66E3" w:rsidRDefault="005727B7" w:rsidP="003A5813">
            <w:pPr>
              <w:spacing w:after="0"/>
              <w:jc w:val="right"/>
              <w:rPr>
                <w:rFonts w:cs="Arial"/>
              </w:rPr>
            </w:pPr>
            <w:r>
              <w:rPr>
                <w:rFonts w:cs="Arial"/>
              </w:rPr>
              <w:t>44</w:t>
            </w:r>
          </w:p>
        </w:tc>
        <w:tc>
          <w:tcPr>
            <w:tcW w:w="1084" w:type="dxa"/>
            <w:tcBorders>
              <w:top w:val="nil"/>
              <w:left w:val="nil"/>
              <w:bottom w:val="single" w:sz="8" w:space="0" w:color="000000"/>
              <w:right w:val="single" w:sz="8" w:space="0" w:color="000000"/>
            </w:tcBorders>
            <w:vAlign w:val="center"/>
          </w:tcPr>
          <w:p w14:paraId="75C8F924" w14:textId="77777777" w:rsidR="005727B7" w:rsidRPr="009C66E3" w:rsidRDefault="005727B7" w:rsidP="003A5813">
            <w:pPr>
              <w:spacing w:after="0"/>
              <w:jc w:val="right"/>
              <w:rPr>
                <w:rFonts w:cs="Arial"/>
              </w:rPr>
            </w:pPr>
            <w:r>
              <w:rPr>
                <w:rFonts w:cs="Arial"/>
              </w:rPr>
              <w:t>43</w:t>
            </w:r>
          </w:p>
        </w:tc>
        <w:tc>
          <w:tcPr>
            <w:tcW w:w="1084" w:type="dxa"/>
            <w:tcBorders>
              <w:top w:val="nil"/>
              <w:left w:val="nil"/>
              <w:bottom w:val="single" w:sz="8" w:space="0" w:color="000000"/>
              <w:right w:val="single" w:sz="8" w:space="0" w:color="000000"/>
            </w:tcBorders>
            <w:vAlign w:val="center"/>
          </w:tcPr>
          <w:p w14:paraId="3A0AC693" w14:textId="77777777" w:rsidR="005727B7" w:rsidRPr="009C66E3" w:rsidRDefault="005727B7" w:rsidP="003A5813">
            <w:pPr>
              <w:spacing w:after="0"/>
              <w:jc w:val="right"/>
              <w:rPr>
                <w:rFonts w:cs="Arial"/>
              </w:rPr>
            </w:pPr>
            <w:r>
              <w:rPr>
                <w:rFonts w:cs="Arial"/>
              </w:rPr>
              <w:t>42</w:t>
            </w:r>
          </w:p>
        </w:tc>
        <w:tc>
          <w:tcPr>
            <w:tcW w:w="1115" w:type="dxa"/>
            <w:tcBorders>
              <w:top w:val="nil"/>
              <w:left w:val="nil"/>
              <w:bottom w:val="single" w:sz="8" w:space="0" w:color="000000"/>
              <w:right w:val="single" w:sz="8" w:space="0" w:color="000000"/>
            </w:tcBorders>
            <w:vAlign w:val="center"/>
          </w:tcPr>
          <w:p w14:paraId="4A70CFD7" w14:textId="77777777" w:rsidR="005727B7" w:rsidRPr="009C66E3" w:rsidRDefault="005727B7" w:rsidP="003A5813">
            <w:pPr>
              <w:spacing w:after="0"/>
              <w:jc w:val="right"/>
              <w:rPr>
                <w:rFonts w:cs="Arial"/>
              </w:rPr>
            </w:pPr>
            <w:r>
              <w:rPr>
                <w:rFonts w:cs="Arial"/>
              </w:rPr>
              <w:t>52</w:t>
            </w:r>
          </w:p>
        </w:tc>
      </w:tr>
      <w:tr w:rsidR="005727B7" w:rsidRPr="009C66E3" w14:paraId="2AA2B6F4" w14:textId="77777777" w:rsidTr="005727B7">
        <w:trPr>
          <w:trHeight w:val="312"/>
        </w:trPr>
        <w:tc>
          <w:tcPr>
            <w:tcW w:w="2240" w:type="dxa"/>
            <w:tcBorders>
              <w:top w:val="nil"/>
              <w:left w:val="single" w:sz="8" w:space="0" w:color="000000"/>
              <w:bottom w:val="single" w:sz="8" w:space="0" w:color="000000"/>
              <w:right w:val="single" w:sz="8" w:space="0" w:color="000000"/>
            </w:tcBorders>
            <w:noWrap/>
            <w:vAlign w:val="center"/>
          </w:tcPr>
          <w:p w14:paraId="58DD59AD" w14:textId="77777777" w:rsidR="005727B7" w:rsidRPr="009C66E3" w:rsidRDefault="005727B7" w:rsidP="003A5813">
            <w:pPr>
              <w:spacing w:after="0"/>
              <w:rPr>
                <w:rFonts w:cs="Arial"/>
              </w:rPr>
            </w:pPr>
            <w:r>
              <w:rPr>
                <w:rFonts w:cs="Arial"/>
              </w:rPr>
              <w:t>Green</w:t>
            </w:r>
          </w:p>
        </w:tc>
        <w:tc>
          <w:tcPr>
            <w:tcW w:w="1084" w:type="dxa"/>
            <w:tcBorders>
              <w:top w:val="nil"/>
              <w:left w:val="nil"/>
              <w:bottom w:val="single" w:sz="8" w:space="0" w:color="000000"/>
              <w:right w:val="single" w:sz="8" w:space="0" w:color="000000"/>
            </w:tcBorders>
            <w:vAlign w:val="center"/>
          </w:tcPr>
          <w:p w14:paraId="3EC6396F" w14:textId="77777777" w:rsidR="005727B7" w:rsidRPr="009C66E3" w:rsidRDefault="005727B7" w:rsidP="003A5813">
            <w:pPr>
              <w:spacing w:after="0"/>
              <w:jc w:val="right"/>
              <w:rPr>
                <w:rFonts w:cs="Arial"/>
              </w:rPr>
            </w:pPr>
            <w:r>
              <w:rPr>
                <w:rFonts w:cs="Arial"/>
              </w:rPr>
              <w:t>17</w:t>
            </w:r>
          </w:p>
        </w:tc>
        <w:tc>
          <w:tcPr>
            <w:tcW w:w="1084" w:type="dxa"/>
            <w:tcBorders>
              <w:top w:val="nil"/>
              <w:left w:val="nil"/>
              <w:bottom w:val="single" w:sz="8" w:space="0" w:color="000000"/>
              <w:right w:val="single" w:sz="8" w:space="0" w:color="000000"/>
            </w:tcBorders>
            <w:vAlign w:val="center"/>
          </w:tcPr>
          <w:p w14:paraId="55962D44" w14:textId="77777777" w:rsidR="005727B7" w:rsidRPr="009C66E3" w:rsidRDefault="005727B7" w:rsidP="003A5813">
            <w:pPr>
              <w:spacing w:after="0"/>
              <w:jc w:val="right"/>
              <w:rPr>
                <w:rFonts w:cs="Arial"/>
              </w:rPr>
            </w:pPr>
            <w:r>
              <w:rPr>
                <w:rFonts w:cs="Arial"/>
              </w:rPr>
              <w:t>27</w:t>
            </w:r>
          </w:p>
        </w:tc>
        <w:tc>
          <w:tcPr>
            <w:tcW w:w="1084" w:type="dxa"/>
            <w:tcBorders>
              <w:top w:val="nil"/>
              <w:left w:val="nil"/>
              <w:bottom w:val="single" w:sz="8" w:space="0" w:color="000000"/>
              <w:right w:val="single" w:sz="8" w:space="0" w:color="000000"/>
            </w:tcBorders>
            <w:vAlign w:val="center"/>
          </w:tcPr>
          <w:p w14:paraId="7D5370A7" w14:textId="77777777" w:rsidR="005727B7" w:rsidRPr="009C66E3" w:rsidRDefault="005727B7" w:rsidP="003A5813">
            <w:pPr>
              <w:spacing w:after="0"/>
              <w:jc w:val="right"/>
              <w:rPr>
                <w:rFonts w:cs="Arial"/>
              </w:rPr>
            </w:pPr>
            <w:r>
              <w:rPr>
                <w:rFonts w:cs="Arial"/>
              </w:rPr>
              <w:t>26</w:t>
            </w:r>
          </w:p>
        </w:tc>
        <w:tc>
          <w:tcPr>
            <w:tcW w:w="1115" w:type="dxa"/>
            <w:tcBorders>
              <w:top w:val="nil"/>
              <w:left w:val="nil"/>
              <w:bottom w:val="single" w:sz="8" w:space="0" w:color="000000"/>
              <w:right w:val="single" w:sz="8" w:space="0" w:color="000000"/>
            </w:tcBorders>
            <w:vAlign w:val="center"/>
          </w:tcPr>
          <w:p w14:paraId="0515A68A" w14:textId="77777777" w:rsidR="005727B7" w:rsidRPr="009C66E3" w:rsidRDefault="005727B7" w:rsidP="003A5813">
            <w:pPr>
              <w:spacing w:after="0"/>
              <w:jc w:val="right"/>
              <w:rPr>
                <w:rFonts w:cs="Arial"/>
              </w:rPr>
            </w:pPr>
            <w:r>
              <w:rPr>
                <w:rFonts w:cs="Arial"/>
              </w:rPr>
              <w:t>32</w:t>
            </w:r>
          </w:p>
        </w:tc>
      </w:tr>
      <w:tr w:rsidR="005727B7" w:rsidRPr="009C66E3" w14:paraId="2E627D9E" w14:textId="77777777" w:rsidTr="005727B7">
        <w:trPr>
          <w:trHeight w:val="324"/>
        </w:trPr>
        <w:tc>
          <w:tcPr>
            <w:tcW w:w="2240" w:type="dxa"/>
            <w:tcBorders>
              <w:top w:val="nil"/>
              <w:left w:val="single" w:sz="8" w:space="0" w:color="000000"/>
              <w:bottom w:val="single" w:sz="8" w:space="0" w:color="000000"/>
              <w:right w:val="single" w:sz="8" w:space="0" w:color="000000"/>
            </w:tcBorders>
            <w:shd w:val="clear" w:color="000000" w:fill="D9D9D9"/>
            <w:noWrap/>
            <w:vAlign w:val="center"/>
          </w:tcPr>
          <w:p w14:paraId="3F5178AC" w14:textId="77777777" w:rsidR="005727B7" w:rsidRPr="009C66E3" w:rsidRDefault="005727B7" w:rsidP="003A5813">
            <w:pPr>
              <w:spacing w:after="0"/>
              <w:rPr>
                <w:rFonts w:cs="Arial"/>
                <w:b/>
                <w:bCs/>
              </w:rPr>
            </w:pPr>
            <w:r>
              <w:rPr>
                <w:rFonts w:cs="Arial"/>
                <w:b/>
                <w:bCs/>
              </w:rPr>
              <w:t>Total Risks</w:t>
            </w:r>
          </w:p>
        </w:tc>
        <w:tc>
          <w:tcPr>
            <w:tcW w:w="1084" w:type="dxa"/>
            <w:tcBorders>
              <w:top w:val="nil"/>
              <w:left w:val="nil"/>
              <w:bottom w:val="single" w:sz="8" w:space="0" w:color="000000"/>
              <w:right w:val="single" w:sz="8" w:space="0" w:color="000000"/>
            </w:tcBorders>
            <w:shd w:val="clear" w:color="000000" w:fill="D9D9D9"/>
            <w:vAlign w:val="center"/>
          </w:tcPr>
          <w:p w14:paraId="338F23A5" w14:textId="77777777" w:rsidR="005727B7" w:rsidRPr="009C66E3" w:rsidRDefault="005727B7" w:rsidP="003A5813">
            <w:pPr>
              <w:spacing w:after="0"/>
              <w:jc w:val="right"/>
              <w:rPr>
                <w:rFonts w:cs="Arial"/>
                <w:b/>
                <w:bCs/>
              </w:rPr>
            </w:pPr>
            <w:r>
              <w:rPr>
                <w:rFonts w:cs="Arial"/>
                <w:b/>
                <w:bCs/>
              </w:rPr>
              <w:t>71</w:t>
            </w:r>
          </w:p>
        </w:tc>
        <w:tc>
          <w:tcPr>
            <w:tcW w:w="1084" w:type="dxa"/>
            <w:tcBorders>
              <w:top w:val="nil"/>
              <w:left w:val="nil"/>
              <w:bottom w:val="single" w:sz="8" w:space="0" w:color="000000"/>
              <w:right w:val="single" w:sz="8" w:space="0" w:color="000000"/>
            </w:tcBorders>
            <w:shd w:val="clear" w:color="000000" w:fill="D9D9D9"/>
            <w:vAlign w:val="center"/>
          </w:tcPr>
          <w:p w14:paraId="15573D85" w14:textId="77777777" w:rsidR="005727B7" w:rsidRPr="009C66E3" w:rsidRDefault="005727B7" w:rsidP="003A5813">
            <w:pPr>
              <w:spacing w:after="0"/>
              <w:jc w:val="right"/>
              <w:rPr>
                <w:rFonts w:cs="Arial"/>
                <w:b/>
                <w:bCs/>
              </w:rPr>
            </w:pPr>
            <w:r>
              <w:rPr>
                <w:rFonts w:cs="Arial"/>
                <w:b/>
                <w:bCs/>
              </w:rPr>
              <w:t>81</w:t>
            </w:r>
          </w:p>
        </w:tc>
        <w:tc>
          <w:tcPr>
            <w:tcW w:w="1084" w:type="dxa"/>
            <w:tcBorders>
              <w:top w:val="nil"/>
              <w:left w:val="nil"/>
              <w:bottom w:val="single" w:sz="8" w:space="0" w:color="000000"/>
              <w:right w:val="single" w:sz="8" w:space="0" w:color="000000"/>
            </w:tcBorders>
            <w:shd w:val="clear" w:color="000000" w:fill="D9D9D9"/>
            <w:vAlign w:val="center"/>
          </w:tcPr>
          <w:p w14:paraId="4EDFE338" w14:textId="77777777" w:rsidR="005727B7" w:rsidRPr="009C66E3" w:rsidRDefault="005727B7" w:rsidP="003A5813">
            <w:pPr>
              <w:spacing w:after="0"/>
              <w:jc w:val="right"/>
              <w:rPr>
                <w:rFonts w:cs="Arial"/>
                <w:b/>
                <w:bCs/>
              </w:rPr>
            </w:pPr>
            <w:r>
              <w:rPr>
                <w:rFonts w:cs="Arial"/>
                <w:b/>
                <w:bCs/>
              </w:rPr>
              <w:t>79</w:t>
            </w:r>
          </w:p>
        </w:tc>
        <w:tc>
          <w:tcPr>
            <w:tcW w:w="1115" w:type="dxa"/>
            <w:tcBorders>
              <w:top w:val="nil"/>
              <w:left w:val="nil"/>
              <w:bottom w:val="single" w:sz="8" w:space="0" w:color="000000"/>
              <w:right w:val="single" w:sz="8" w:space="0" w:color="000000"/>
            </w:tcBorders>
            <w:shd w:val="clear" w:color="000000" w:fill="D9D9D9"/>
            <w:vAlign w:val="center"/>
          </w:tcPr>
          <w:p w14:paraId="7E1CB541" w14:textId="77777777" w:rsidR="005727B7" w:rsidRPr="009C66E3" w:rsidRDefault="005727B7" w:rsidP="003A5813">
            <w:pPr>
              <w:spacing w:after="0"/>
              <w:jc w:val="right"/>
              <w:rPr>
                <w:rFonts w:cs="Arial"/>
                <w:b/>
                <w:bCs/>
              </w:rPr>
            </w:pPr>
            <w:r>
              <w:rPr>
                <w:rFonts w:cs="Arial"/>
                <w:b/>
                <w:bCs/>
              </w:rPr>
              <w:t>94</w:t>
            </w:r>
          </w:p>
        </w:tc>
      </w:tr>
      <w:tr w:rsidR="005727B7" w:rsidRPr="00D86401" w14:paraId="402A7B17" w14:textId="77777777" w:rsidTr="005727B7">
        <w:trPr>
          <w:trHeight w:val="312"/>
        </w:trPr>
        <w:tc>
          <w:tcPr>
            <w:tcW w:w="2240" w:type="dxa"/>
            <w:tcBorders>
              <w:top w:val="nil"/>
              <w:left w:val="single" w:sz="8" w:space="0" w:color="000000"/>
              <w:bottom w:val="single" w:sz="8" w:space="0" w:color="000000"/>
              <w:right w:val="single" w:sz="8" w:space="0" w:color="000000"/>
            </w:tcBorders>
            <w:noWrap/>
            <w:vAlign w:val="center"/>
          </w:tcPr>
          <w:p w14:paraId="1379EBBF" w14:textId="77777777" w:rsidR="005727B7" w:rsidRPr="00D3726E" w:rsidRDefault="005727B7" w:rsidP="003A5813">
            <w:pPr>
              <w:spacing w:after="0"/>
              <w:rPr>
                <w:rFonts w:cs="Arial"/>
                <w:color w:val="auto"/>
              </w:rPr>
            </w:pPr>
            <w:r>
              <w:rPr>
                <w:rFonts w:cs="Arial"/>
                <w:color w:val="auto"/>
              </w:rPr>
              <w:t>New Risks in the Quarter</w:t>
            </w:r>
          </w:p>
        </w:tc>
        <w:tc>
          <w:tcPr>
            <w:tcW w:w="1084" w:type="dxa"/>
            <w:tcBorders>
              <w:top w:val="nil"/>
              <w:left w:val="nil"/>
              <w:bottom w:val="single" w:sz="8" w:space="0" w:color="000000"/>
              <w:right w:val="single" w:sz="8" w:space="0" w:color="000000"/>
            </w:tcBorders>
            <w:vAlign w:val="center"/>
          </w:tcPr>
          <w:p w14:paraId="4755AD97" w14:textId="77777777" w:rsidR="005727B7" w:rsidRPr="00D3726E" w:rsidRDefault="005727B7" w:rsidP="003A5813">
            <w:pPr>
              <w:spacing w:after="0"/>
              <w:jc w:val="right"/>
              <w:rPr>
                <w:rFonts w:cs="Arial"/>
                <w:color w:val="auto"/>
              </w:rPr>
            </w:pPr>
            <w:r>
              <w:rPr>
                <w:rFonts w:cs="Arial"/>
                <w:color w:val="auto"/>
              </w:rPr>
              <w:t>0</w:t>
            </w:r>
          </w:p>
        </w:tc>
        <w:tc>
          <w:tcPr>
            <w:tcW w:w="1084" w:type="dxa"/>
            <w:tcBorders>
              <w:top w:val="nil"/>
              <w:left w:val="nil"/>
              <w:bottom w:val="single" w:sz="8" w:space="0" w:color="000000"/>
              <w:right w:val="single" w:sz="8" w:space="0" w:color="000000"/>
            </w:tcBorders>
            <w:vAlign w:val="center"/>
          </w:tcPr>
          <w:p w14:paraId="3CF16454" w14:textId="77777777" w:rsidR="005727B7" w:rsidRPr="00D3726E" w:rsidRDefault="005727B7" w:rsidP="003A5813">
            <w:pPr>
              <w:spacing w:after="0"/>
              <w:jc w:val="right"/>
              <w:rPr>
                <w:rFonts w:cs="Arial"/>
                <w:color w:val="auto"/>
              </w:rPr>
            </w:pPr>
            <w:r>
              <w:rPr>
                <w:rFonts w:cs="Arial"/>
                <w:color w:val="auto"/>
              </w:rPr>
              <w:t>10</w:t>
            </w:r>
          </w:p>
        </w:tc>
        <w:tc>
          <w:tcPr>
            <w:tcW w:w="1084" w:type="dxa"/>
            <w:tcBorders>
              <w:top w:val="nil"/>
              <w:left w:val="nil"/>
              <w:bottom w:val="single" w:sz="8" w:space="0" w:color="000000"/>
              <w:right w:val="single" w:sz="8" w:space="0" w:color="000000"/>
            </w:tcBorders>
            <w:vAlign w:val="center"/>
          </w:tcPr>
          <w:p w14:paraId="13A2C8A1" w14:textId="77777777" w:rsidR="005727B7" w:rsidRPr="00D3726E" w:rsidRDefault="005727B7" w:rsidP="003A5813">
            <w:pPr>
              <w:spacing w:after="0"/>
              <w:jc w:val="right"/>
              <w:rPr>
                <w:rFonts w:cs="Arial"/>
                <w:color w:val="auto"/>
              </w:rPr>
            </w:pPr>
            <w:r>
              <w:rPr>
                <w:rFonts w:cs="Arial"/>
                <w:color w:val="auto"/>
              </w:rPr>
              <w:t>0</w:t>
            </w:r>
          </w:p>
        </w:tc>
        <w:tc>
          <w:tcPr>
            <w:tcW w:w="1115" w:type="dxa"/>
            <w:tcBorders>
              <w:top w:val="nil"/>
              <w:left w:val="nil"/>
              <w:bottom w:val="single" w:sz="8" w:space="0" w:color="000000"/>
              <w:right w:val="single" w:sz="8" w:space="0" w:color="000000"/>
            </w:tcBorders>
            <w:vAlign w:val="center"/>
          </w:tcPr>
          <w:p w14:paraId="66F7815B" w14:textId="77777777" w:rsidR="005727B7" w:rsidRPr="00D3726E" w:rsidRDefault="005727B7" w:rsidP="003A5813">
            <w:pPr>
              <w:spacing w:after="0"/>
              <w:jc w:val="right"/>
              <w:rPr>
                <w:rFonts w:cs="Arial"/>
                <w:color w:val="auto"/>
              </w:rPr>
            </w:pPr>
            <w:r>
              <w:rPr>
                <w:rFonts w:cs="Arial"/>
                <w:color w:val="auto"/>
              </w:rPr>
              <w:t>25</w:t>
            </w:r>
          </w:p>
        </w:tc>
      </w:tr>
      <w:tr w:rsidR="005727B7" w:rsidRPr="00D86401" w14:paraId="52673421" w14:textId="77777777" w:rsidTr="005727B7">
        <w:trPr>
          <w:trHeight w:val="312"/>
        </w:trPr>
        <w:tc>
          <w:tcPr>
            <w:tcW w:w="2240" w:type="dxa"/>
            <w:tcBorders>
              <w:top w:val="nil"/>
              <w:left w:val="single" w:sz="8" w:space="0" w:color="000000"/>
              <w:bottom w:val="single" w:sz="8" w:space="0" w:color="000000"/>
              <w:right w:val="single" w:sz="8" w:space="0" w:color="000000"/>
            </w:tcBorders>
            <w:noWrap/>
            <w:vAlign w:val="center"/>
          </w:tcPr>
          <w:p w14:paraId="38C104F0" w14:textId="77777777" w:rsidR="005727B7" w:rsidRPr="00D3726E" w:rsidRDefault="005727B7" w:rsidP="003A5813">
            <w:pPr>
              <w:spacing w:after="0"/>
              <w:rPr>
                <w:rFonts w:cs="Arial"/>
                <w:color w:val="auto"/>
              </w:rPr>
            </w:pPr>
            <w:r>
              <w:rPr>
                <w:rFonts w:cs="Arial"/>
                <w:color w:val="auto"/>
              </w:rPr>
              <w:t>Closed</w:t>
            </w:r>
          </w:p>
        </w:tc>
        <w:tc>
          <w:tcPr>
            <w:tcW w:w="1084" w:type="dxa"/>
            <w:tcBorders>
              <w:top w:val="nil"/>
              <w:left w:val="nil"/>
              <w:bottom w:val="single" w:sz="8" w:space="0" w:color="000000"/>
              <w:right w:val="single" w:sz="8" w:space="0" w:color="000000"/>
            </w:tcBorders>
            <w:vAlign w:val="center"/>
          </w:tcPr>
          <w:p w14:paraId="5FE72E06" w14:textId="77777777" w:rsidR="005727B7" w:rsidRPr="00D3726E" w:rsidRDefault="005727B7" w:rsidP="003A5813">
            <w:pPr>
              <w:spacing w:after="0"/>
              <w:jc w:val="right"/>
              <w:rPr>
                <w:rFonts w:cs="Arial"/>
                <w:color w:val="auto"/>
              </w:rPr>
            </w:pPr>
            <w:r>
              <w:rPr>
                <w:rFonts w:cs="Arial"/>
                <w:color w:val="auto"/>
              </w:rPr>
              <w:t>2</w:t>
            </w:r>
          </w:p>
        </w:tc>
        <w:tc>
          <w:tcPr>
            <w:tcW w:w="1084" w:type="dxa"/>
            <w:tcBorders>
              <w:top w:val="nil"/>
              <w:left w:val="nil"/>
              <w:bottom w:val="single" w:sz="8" w:space="0" w:color="000000"/>
              <w:right w:val="single" w:sz="8" w:space="0" w:color="000000"/>
            </w:tcBorders>
            <w:vAlign w:val="center"/>
          </w:tcPr>
          <w:p w14:paraId="42DD76EB" w14:textId="77777777" w:rsidR="005727B7" w:rsidRPr="00D3726E" w:rsidRDefault="005727B7" w:rsidP="003A5813">
            <w:pPr>
              <w:spacing w:after="0"/>
              <w:jc w:val="right"/>
              <w:rPr>
                <w:rFonts w:cs="Arial"/>
                <w:color w:val="auto"/>
              </w:rPr>
            </w:pPr>
            <w:r>
              <w:rPr>
                <w:rFonts w:cs="Arial"/>
                <w:color w:val="auto"/>
              </w:rPr>
              <w:t>0</w:t>
            </w:r>
          </w:p>
        </w:tc>
        <w:tc>
          <w:tcPr>
            <w:tcW w:w="1084" w:type="dxa"/>
            <w:tcBorders>
              <w:top w:val="nil"/>
              <w:left w:val="nil"/>
              <w:bottom w:val="single" w:sz="8" w:space="0" w:color="000000"/>
              <w:right w:val="single" w:sz="8" w:space="0" w:color="000000"/>
            </w:tcBorders>
            <w:vAlign w:val="center"/>
          </w:tcPr>
          <w:p w14:paraId="4527EDF0" w14:textId="77777777" w:rsidR="005727B7" w:rsidRPr="00D3726E" w:rsidRDefault="005727B7" w:rsidP="003A5813">
            <w:pPr>
              <w:spacing w:after="0"/>
              <w:jc w:val="right"/>
              <w:rPr>
                <w:rFonts w:cs="Arial"/>
                <w:color w:val="auto"/>
              </w:rPr>
            </w:pPr>
            <w:r>
              <w:rPr>
                <w:rFonts w:cs="Arial"/>
                <w:color w:val="auto"/>
              </w:rPr>
              <w:t>2</w:t>
            </w:r>
          </w:p>
        </w:tc>
        <w:tc>
          <w:tcPr>
            <w:tcW w:w="1115" w:type="dxa"/>
            <w:tcBorders>
              <w:top w:val="nil"/>
              <w:left w:val="nil"/>
              <w:bottom w:val="single" w:sz="8" w:space="0" w:color="000000"/>
              <w:right w:val="single" w:sz="8" w:space="0" w:color="000000"/>
            </w:tcBorders>
            <w:vAlign w:val="center"/>
          </w:tcPr>
          <w:p w14:paraId="27DFDE7D" w14:textId="77777777" w:rsidR="005727B7" w:rsidRPr="00D3726E" w:rsidRDefault="005727B7" w:rsidP="003A5813">
            <w:pPr>
              <w:spacing w:after="0"/>
              <w:jc w:val="right"/>
              <w:rPr>
                <w:rFonts w:cs="Arial"/>
                <w:color w:val="auto"/>
              </w:rPr>
            </w:pPr>
            <w:r>
              <w:rPr>
                <w:rFonts w:cs="Arial"/>
                <w:color w:val="auto"/>
              </w:rPr>
              <w:t>10</w:t>
            </w:r>
          </w:p>
        </w:tc>
      </w:tr>
    </w:tbl>
    <w:p w14:paraId="7C6CB796" w14:textId="77777777" w:rsidR="005727B7" w:rsidRDefault="005727B7" w:rsidP="005727B7">
      <w:pPr>
        <w:ind w:left="851"/>
        <w:rPr>
          <w:color w:val="auto"/>
        </w:rPr>
      </w:pPr>
    </w:p>
    <w:p w14:paraId="3982D467" w14:textId="6B1F574A" w:rsidR="005727B7" w:rsidRPr="00992BCC" w:rsidRDefault="00601A34" w:rsidP="00992BCC">
      <w:pPr>
        <w:pStyle w:val="ListParagraph"/>
        <w:numPr>
          <w:ilvl w:val="0"/>
          <w:numId w:val="5"/>
        </w:numPr>
        <w:tabs>
          <w:tab w:val="clear" w:pos="426"/>
        </w:tabs>
        <w:ind w:left="851" w:hanging="567"/>
        <w:rPr>
          <w:color w:val="auto"/>
        </w:rPr>
      </w:pPr>
      <w:r w:rsidRPr="00992BCC">
        <w:rPr>
          <w:color w:val="auto"/>
        </w:rPr>
        <w:t xml:space="preserve">The number of red service area risks </w:t>
      </w:r>
      <w:proofErr w:type="gramStart"/>
      <w:r w:rsidR="00A51AFF" w:rsidRPr="00992BCC">
        <w:rPr>
          <w:color w:val="auto"/>
        </w:rPr>
        <w:t>at</w:t>
      </w:r>
      <w:proofErr w:type="gramEnd"/>
      <w:r w:rsidR="00A51AFF" w:rsidRPr="00992BCC">
        <w:rPr>
          <w:color w:val="auto"/>
        </w:rPr>
        <w:t xml:space="preserve"> 3</w:t>
      </w:r>
      <w:r w:rsidR="002E10CB" w:rsidRPr="00992BCC">
        <w:rPr>
          <w:color w:val="auto"/>
        </w:rPr>
        <w:t>0 June 2025</w:t>
      </w:r>
      <w:r w:rsidR="00A51AFF" w:rsidRPr="00992BCC">
        <w:rPr>
          <w:color w:val="auto"/>
        </w:rPr>
        <w:t xml:space="preserve"> </w:t>
      </w:r>
      <w:r w:rsidRPr="00992BCC">
        <w:rPr>
          <w:color w:val="auto"/>
        </w:rPr>
        <w:t xml:space="preserve">has </w:t>
      </w:r>
      <w:r w:rsidR="00A51AFF" w:rsidRPr="00992BCC">
        <w:rPr>
          <w:color w:val="auto"/>
        </w:rPr>
        <w:t xml:space="preserve">reduced from </w:t>
      </w:r>
      <w:r w:rsidR="005A47C8" w:rsidRPr="00992BCC">
        <w:rPr>
          <w:color w:val="auto"/>
        </w:rPr>
        <w:t>1</w:t>
      </w:r>
      <w:r w:rsidR="002E10CB" w:rsidRPr="00992BCC">
        <w:rPr>
          <w:color w:val="auto"/>
        </w:rPr>
        <w:t>1</w:t>
      </w:r>
      <w:r w:rsidR="001B4CD4" w:rsidRPr="00992BCC">
        <w:rPr>
          <w:color w:val="auto"/>
        </w:rPr>
        <w:t xml:space="preserve"> </w:t>
      </w:r>
      <w:r w:rsidR="00A51AFF" w:rsidRPr="00992BCC">
        <w:rPr>
          <w:color w:val="auto"/>
        </w:rPr>
        <w:t>to 1</w:t>
      </w:r>
      <w:r w:rsidR="005727B7" w:rsidRPr="00992BCC">
        <w:rPr>
          <w:color w:val="auto"/>
        </w:rPr>
        <w:t>0</w:t>
      </w:r>
      <w:r w:rsidR="00A51AFF" w:rsidRPr="00992BCC">
        <w:rPr>
          <w:color w:val="auto"/>
        </w:rPr>
        <w:t xml:space="preserve"> since 3</w:t>
      </w:r>
      <w:r w:rsidR="005727B7" w:rsidRPr="00992BCC">
        <w:rPr>
          <w:color w:val="auto"/>
        </w:rPr>
        <w:t>1 March 2025</w:t>
      </w:r>
      <w:r w:rsidRPr="00992BCC">
        <w:rPr>
          <w:color w:val="auto"/>
        </w:rPr>
        <w:t xml:space="preserve">. </w:t>
      </w:r>
      <w:r w:rsidR="00992BCC">
        <w:rPr>
          <w:color w:val="auto"/>
        </w:rPr>
        <w:t>Details of the current red service risks are as follows:</w:t>
      </w:r>
    </w:p>
    <w:p w14:paraId="6D4DEDE6" w14:textId="57E6B6BC" w:rsidR="00992BCC" w:rsidRPr="00992BCC" w:rsidRDefault="00992BCC" w:rsidP="00D32FBB">
      <w:pPr>
        <w:pStyle w:val="bParagraphtext"/>
        <w:numPr>
          <w:ilvl w:val="0"/>
          <w:numId w:val="6"/>
        </w:numPr>
        <w:tabs>
          <w:tab w:val="clear" w:pos="426"/>
        </w:tabs>
        <w:ind w:left="1276" w:hanging="425"/>
        <w:rPr>
          <w:b/>
          <w:bCs/>
        </w:rPr>
      </w:pPr>
      <w:bookmarkStart w:id="4" w:name="_Hlk153553490"/>
      <w:r w:rsidRPr="00992BCC">
        <w:rPr>
          <w:b/>
          <w:bCs/>
        </w:rPr>
        <w:t>Planning - External delays</w:t>
      </w:r>
      <w:r w:rsidRPr="00992BCC">
        <w:t xml:space="preserve"> - </w:t>
      </w:r>
      <w:r>
        <w:t>d</w:t>
      </w:r>
      <w:r w:rsidRPr="00992BCC">
        <w:t>elays to Council projects arising from external agencies may impact overall Council performance, resulting in missed targets and reduced effectiveness.</w:t>
      </w:r>
    </w:p>
    <w:p w14:paraId="52EF69C9" w14:textId="49B623F6" w:rsidR="00992BCC" w:rsidRPr="00B93876" w:rsidRDefault="00992BCC" w:rsidP="00B93876">
      <w:pPr>
        <w:pStyle w:val="bParagraphtext"/>
        <w:numPr>
          <w:ilvl w:val="0"/>
          <w:numId w:val="6"/>
        </w:numPr>
        <w:tabs>
          <w:tab w:val="clear" w:pos="426"/>
        </w:tabs>
        <w:ind w:left="1276" w:hanging="425"/>
      </w:pPr>
      <w:r w:rsidRPr="00992BCC">
        <w:rPr>
          <w:b/>
          <w:bCs/>
        </w:rPr>
        <w:t xml:space="preserve">Planning </w:t>
      </w:r>
      <w:r w:rsidRPr="00B93876">
        <w:t xml:space="preserve">- </w:t>
      </w:r>
      <w:r w:rsidR="00B93876" w:rsidRPr="00B93876">
        <w:t>i</w:t>
      </w:r>
      <w:r w:rsidRPr="00B93876">
        <w:t xml:space="preserve">f Government legislation requiring substantial changes in the planning system results in a need for redesigned processes, then there will be a lack of capacity to meet the changes, and the delivery of local policy objectives will be undermined. </w:t>
      </w:r>
    </w:p>
    <w:p w14:paraId="33153C3E" w14:textId="2E4AA2FE" w:rsidR="00992BCC" w:rsidRPr="00992BCC" w:rsidRDefault="00992BCC" w:rsidP="00D32FBB">
      <w:pPr>
        <w:pStyle w:val="bParagraphtext"/>
        <w:numPr>
          <w:ilvl w:val="0"/>
          <w:numId w:val="6"/>
        </w:numPr>
        <w:tabs>
          <w:tab w:val="clear" w:pos="426"/>
        </w:tabs>
        <w:ind w:left="1276" w:hanging="425"/>
        <w:rPr>
          <w:b/>
          <w:bCs/>
        </w:rPr>
      </w:pPr>
      <w:r w:rsidRPr="00992BCC">
        <w:rPr>
          <w:b/>
          <w:bCs/>
        </w:rPr>
        <w:t>Property and Assets - Quality of data and property knowledge</w:t>
      </w:r>
      <w:r w:rsidRPr="00992BCC">
        <w:t xml:space="preserve"> – Failure to implement an asset management system capable of storing and </w:t>
      </w:r>
      <w:r w:rsidRPr="00992BCC">
        <w:lastRenderedPageBreak/>
        <w:t>analysing data may hinder the Council’s ability to effectively plan and schedule work. This could result in delays to property lettings, difficulties in providing timely insurance information, and increased risk of non-compliance.</w:t>
      </w:r>
    </w:p>
    <w:p w14:paraId="408C2ADC" w14:textId="45154AE1" w:rsidR="00992BCC" w:rsidRPr="00992BCC" w:rsidRDefault="00992BCC" w:rsidP="00F41135">
      <w:pPr>
        <w:pStyle w:val="bParagraphtext"/>
        <w:numPr>
          <w:ilvl w:val="0"/>
          <w:numId w:val="6"/>
        </w:numPr>
        <w:tabs>
          <w:tab w:val="clear" w:pos="426"/>
        </w:tabs>
        <w:ind w:left="1276" w:hanging="425"/>
        <w:rPr>
          <w:b/>
          <w:bCs/>
        </w:rPr>
      </w:pPr>
      <w:r w:rsidRPr="00992BCC">
        <w:rPr>
          <w:b/>
          <w:bCs/>
        </w:rPr>
        <w:t>Law, Governance and Strategy – Resilience of service</w:t>
      </w:r>
      <w:r>
        <w:rPr>
          <w:b/>
          <w:bCs/>
        </w:rPr>
        <w:t xml:space="preserve"> </w:t>
      </w:r>
      <w:r w:rsidRPr="00992BCC">
        <w:t>- an inability to effectively deliver services required by the Council and to deliver critical projects and support statutory and non-statutory functions will have a direct impact on risk, compliance, expenditure, and income to the Council. Furthermore, inadequate staffing and the requirement for expertise in response to major incidents may necessitate increased reliance on external support or lead to operational delays.</w:t>
      </w:r>
    </w:p>
    <w:p w14:paraId="5184A932" w14:textId="28897BD0" w:rsidR="00B93876" w:rsidRPr="00B93876" w:rsidRDefault="00B93876" w:rsidP="005E2EA5">
      <w:pPr>
        <w:pStyle w:val="bParagraphtext"/>
        <w:numPr>
          <w:ilvl w:val="0"/>
          <w:numId w:val="6"/>
        </w:numPr>
        <w:tabs>
          <w:tab w:val="clear" w:pos="426"/>
        </w:tabs>
        <w:ind w:left="1276" w:hanging="425"/>
        <w:rPr>
          <w:b/>
          <w:bCs/>
        </w:rPr>
      </w:pPr>
      <w:r w:rsidRPr="00B93876">
        <w:rPr>
          <w:b/>
          <w:bCs/>
        </w:rPr>
        <w:t xml:space="preserve">Law, Governance and Strategy </w:t>
      </w:r>
      <w:r w:rsidR="00FD0330" w:rsidRPr="00B93876">
        <w:rPr>
          <w:b/>
          <w:bCs/>
        </w:rPr>
        <w:t>–</w:t>
      </w:r>
      <w:r w:rsidR="006C0662" w:rsidRPr="00B93876">
        <w:rPr>
          <w:b/>
          <w:bCs/>
        </w:rPr>
        <w:t xml:space="preserve"> Income target not achieved</w:t>
      </w:r>
      <w:r>
        <w:rPr>
          <w:b/>
          <w:bCs/>
        </w:rPr>
        <w:t xml:space="preserve"> </w:t>
      </w:r>
      <w:r w:rsidRPr="00B93876">
        <w:t>-</w:t>
      </w:r>
      <w:r>
        <w:t xml:space="preserve"> a</w:t>
      </w:r>
      <w:bookmarkStart w:id="5" w:name="_Hlk181183914"/>
      <w:r w:rsidRPr="00B93876">
        <w:t xml:space="preserve"> failure to secure external work causes income targets not to be achieved, resulting in budgetary pressure. Income generation is purely reactive; for example, should the Planning Department require fewer s106 agreements, the Council will suffer a reduction in legal income. </w:t>
      </w:r>
    </w:p>
    <w:p w14:paraId="0EF93F4D" w14:textId="26606FBA" w:rsidR="00B93876" w:rsidRPr="00B93876" w:rsidRDefault="00B93876" w:rsidP="005E2EA5">
      <w:pPr>
        <w:pStyle w:val="bParagraphtext"/>
        <w:numPr>
          <w:ilvl w:val="0"/>
          <w:numId w:val="6"/>
        </w:numPr>
        <w:tabs>
          <w:tab w:val="clear" w:pos="426"/>
        </w:tabs>
        <w:ind w:left="1276" w:hanging="425"/>
        <w:rPr>
          <w:b/>
          <w:bCs/>
        </w:rPr>
      </w:pPr>
      <w:r w:rsidRPr="00B93876">
        <w:rPr>
          <w:b/>
          <w:bCs/>
        </w:rPr>
        <w:t>Law, Governance and Strategy</w:t>
      </w:r>
      <w:r>
        <w:t xml:space="preserve"> - t</w:t>
      </w:r>
      <w:r w:rsidRPr="00B93876">
        <w:t>he use of the budget is reactive and therefore, as unexpected corporate issues arise, external legal costs increase, which will lead to an overspend on the legal services budget, and potentially pressure on other service area budgets as they may need to fund work.</w:t>
      </w:r>
    </w:p>
    <w:p w14:paraId="2827B3E8" w14:textId="44763B0D" w:rsidR="00B93876" w:rsidRPr="00B93876" w:rsidRDefault="00B93876" w:rsidP="005E2EA5">
      <w:pPr>
        <w:pStyle w:val="bParagraphtext"/>
        <w:numPr>
          <w:ilvl w:val="0"/>
          <w:numId w:val="6"/>
        </w:numPr>
        <w:tabs>
          <w:tab w:val="clear" w:pos="426"/>
        </w:tabs>
        <w:ind w:left="1276" w:hanging="425"/>
        <w:rPr>
          <w:b/>
          <w:bCs/>
        </w:rPr>
      </w:pPr>
      <w:r w:rsidRPr="00B93876">
        <w:rPr>
          <w:b/>
          <w:bCs/>
        </w:rPr>
        <w:t>Financial Services</w:t>
      </w:r>
      <w:r>
        <w:rPr>
          <w:b/>
          <w:bCs/>
        </w:rPr>
        <w:t xml:space="preserve"> </w:t>
      </w:r>
      <w:r>
        <w:t xml:space="preserve">- </w:t>
      </w:r>
      <w:r w:rsidRPr="00B93876">
        <w:t>Management effectiveness and the ability of employees to deliver services</w:t>
      </w:r>
      <w:r>
        <w:t>.</w:t>
      </w:r>
      <w:r w:rsidRPr="00B93876">
        <w:t xml:space="preserve"> If an increased workload places excessive pressure on staff and managers, then there might be an increase in staff stress and burnout, resulting in a lack of capacity to deliver work demands.</w:t>
      </w:r>
    </w:p>
    <w:p w14:paraId="30BDBA08" w14:textId="7F611CAF" w:rsidR="00B93876" w:rsidRPr="00B93876" w:rsidRDefault="00B93876" w:rsidP="005E2EA5">
      <w:pPr>
        <w:pStyle w:val="bParagraphtext"/>
        <w:numPr>
          <w:ilvl w:val="0"/>
          <w:numId w:val="6"/>
        </w:numPr>
        <w:tabs>
          <w:tab w:val="clear" w:pos="426"/>
        </w:tabs>
        <w:ind w:left="1276" w:hanging="425"/>
        <w:rPr>
          <w:b/>
          <w:bCs/>
        </w:rPr>
      </w:pPr>
      <w:r w:rsidRPr="00B93876">
        <w:rPr>
          <w:b/>
          <w:bCs/>
        </w:rPr>
        <w:t>Property Assets</w:t>
      </w:r>
      <w:r>
        <w:t xml:space="preserve"> - </w:t>
      </w:r>
      <w:r w:rsidRPr="00B93876">
        <w:t>If there is a lack of legal support, the Council will be unable to meet income, capital receipt, and project targets. Alternatively, external legal spend will be more costly and will result in an increase in financial pressure.</w:t>
      </w:r>
    </w:p>
    <w:p w14:paraId="61BA6CD5" w14:textId="2C63BA5D" w:rsidR="00B93876" w:rsidRPr="00B93876" w:rsidRDefault="00B93876" w:rsidP="005E2EA5">
      <w:pPr>
        <w:pStyle w:val="bParagraphtext"/>
        <w:numPr>
          <w:ilvl w:val="0"/>
          <w:numId w:val="6"/>
        </w:numPr>
        <w:tabs>
          <w:tab w:val="clear" w:pos="426"/>
        </w:tabs>
        <w:ind w:left="1276" w:hanging="425"/>
        <w:rPr>
          <w:b/>
          <w:bCs/>
        </w:rPr>
      </w:pPr>
      <w:r w:rsidRPr="00B93876">
        <w:rPr>
          <w:b/>
          <w:bCs/>
        </w:rPr>
        <w:t>Communities and Citizen Services</w:t>
      </w:r>
      <w:r>
        <w:t xml:space="preserve"> - </w:t>
      </w:r>
      <w:r w:rsidRPr="00B93876">
        <w:t>Failure to achieve the necessary savings may result in financial pressure on the Council and/or a decline in the quality of services delivered, as cost-cutting measures may need to be implemented.</w:t>
      </w:r>
    </w:p>
    <w:bookmarkEnd w:id="4"/>
    <w:bookmarkEnd w:id="5"/>
    <w:p w14:paraId="46F0ED8B" w14:textId="77777777" w:rsidR="006D583C" w:rsidRPr="00240FF5" w:rsidRDefault="006D583C" w:rsidP="006D583C">
      <w:pPr>
        <w:pStyle w:val="Heading1"/>
        <w:rPr>
          <w:color w:val="auto"/>
        </w:rPr>
      </w:pPr>
      <w:r w:rsidRPr="00240FF5">
        <w:rPr>
          <w:color w:val="auto"/>
        </w:rPr>
        <w:t>Financial implications</w:t>
      </w:r>
    </w:p>
    <w:p w14:paraId="23D5D56C" w14:textId="1962228B" w:rsidR="004F260A" w:rsidRPr="006C0662" w:rsidRDefault="0BAE341F" w:rsidP="00B37A6D">
      <w:pPr>
        <w:pStyle w:val="ListParagraph"/>
        <w:numPr>
          <w:ilvl w:val="0"/>
          <w:numId w:val="5"/>
        </w:numPr>
        <w:tabs>
          <w:tab w:val="clear" w:pos="426"/>
        </w:tabs>
        <w:ind w:hanging="502"/>
        <w:rPr>
          <w:color w:val="auto"/>
        </w:rPr>
      </w:pPr>
      <w:r w:rsidRPr="006C0662">
        <w:rPr>
          <w:color w:val="auto"/>
        </w:rPr>
        <w:t>All financial implications are covered in the body of this report and the Appendices</w:t>
      </w:r>
      <w:r w:rsidR="105F655E" w:rsidRPr="006C0662">
        <w:rPr>
          <w:color w:val="auto"/>
        </w:rPr>
        <w:t>.</w:t>
      </w:r>
    </w:p>
    <w:p w14:paraId="5D696799" w14:textId="77777777" w:rsidR="0040736F" w:rsidRPr="00240FF5" w:rsidRDefault="00DA614B" w:rsidP="004A6D2F">
      <w:pPr>
        <w:pStyle w:val="Heading1"/>
        <w:rPr>
          <w:color w:val="auto"/>
        </w:rPr>
      </w:pPr>
      <w:r w:rsidRPr="00240FF5">
        <w:rPr>
          <w:color w:val="auto"/>
        </w:rPr>
        <w:t>Legal issues</w:t>
      </w:r>
    </w:p>
    <w:p w14:paraId="2FB850D8" w14:textId="0A21177F" w:rsidR="00E87F7A" w:rsidRPr="00927F20" w:rsidRDefault="23567AEC" w:rsidP="00B37A6D">
      <w:pPr>
        <w:pStyle w:val="ListParagraph"/>
        <w:numPr>
          <w:ilvl w:val="0"/>
          <w:numId w:val="5"/>
        </w:numPr>
        <w:tabs>
          <w:tab w:val="clear" w:pos="426"/>
        </w:tabs>
        <w:ind w:hanging="502"/>
        <w:rPr>
          <w:color w:val="auto"/>
        </w:rPr>
      </w:pPr>
      <w:r w:rsidRPr="00927F20">
        <w:rPr>
          <w:color w:val="auto"/>
        </w:rPr>
        <w:t xml:space="preserve">There are no legal implications </w:t>
      </w:r>
      <w:r w:rsidR="00D04C25" w:rsidRPr="00927F20">
        <w:rPr>
          <w:color w:val="auto"/>
        </w:rPr>
        <w:t xml:space="preserve">arising </w:t>
      </w:r>
      <w:r w:rsidRPr="00927F20">
        <w:rPr>
          <w:color w:val="auto"/>
        </w:rPr>
        <w:t xml:space="preserve">directly </w:t>
      </w:r>
      <w:r w:rsidR="00D04C25" w:rsidRPr="00927F20">
        <w:rPr>
          <w:color w:val="auto"/>
        </w:rPr>
        <w:t>from</w:t>
      </w:r>
      <w:r w:rsidRPr="00927F20">
        <w:rPr>
          <w:color w:val="auto"/>
        </w:rPr>
        <w:t xml:space="preserve"> this report</w:t>
      </w:r>
      <w:r w:rsidR="1EE867A8" w:rsidRPr="00927F20">
        <w:rPr>
          <w:color w:val="auto"/>
        </w:rPr>
        <w:t>.</w:t>
      </w:r>
    </w:p>
    <w:p w14:paraId="6A5BD3B3" w14:textId="7B233BB4" w:rsidR="00BC69A4" w:rsidRPr="00240FF5" w:rsidRDefault="002329CF" w:rsidP="3DF339A6">
      <w:pPr>
        <w:pStyle w:val="Heading1"/>
        <w:rPr>
          <w:color w:val="auto"/>
        </w:rPr>
      </w:pPr>
      <w:r w:rsidRPr="3DF339A6">
        <w:rPr>
          <w:color w:val="auto"/>
        </w:rPr>
        <w:t>Level of risk</w:t>
      </w:r>
    </w:p>
    <w:p w14:paraId="68EDCF47" w14:textId="4097C01F" w:rsidR="00BC69A4" w:rsidRPr="006C0662" w:rsidRDefault="23567AEC" w:rsidP="00B37A6D">
      <w:pPr>
        <w:pStyle w:val="Heading1"/>
        <w:numPr>
          <w:ilvl w:val="0"/>
          <w:numId w:val="5"/>
        </w:numPr>
        <w:ind w:hanging="502"/>
        <w:rPr>
          <w:b w:val="0"/>
          <w:color w:val="auto"/>
        </w:rPr>
      </w:pPr>
      <w:r w:rsidRPr="006C0662">
        <w:rPr>
          <w:b w:val="0"/>
          <w:color w:val="auto"/>
        </w:rPr>
        <w:t>All risk implications are covered in the body of this report and the Appendices.</w:t>
      </w:r>
    </w:p>
    <w:p w14:paraId="0635CA09" w14:textId="77777777" w:rsidR="002329CF" w:rsidRPr="00240FF5" w:rsidRDefault="002329CF" w:rsidP="0050321C">
      <w:pPr>
        <w:pStyle w:val="Heading1"/>
        <w:rPr>
          <w:color w:val="auto"/>
        </w:rPr>
      </w:pPr>
      <w:r w:rsidRPr="00240FF5">
        <w:rPr>
          <w:color w:val="auto"/>
        </w:rPr>
        <w:t xml:space="preserve">Equalities impact </w:t>
      </w:r>
    </w:p>
    <w:p w14:paraId="58947CAE" w14:textId="6F3C177D" w:rsidR="00E206D6" w:rsidRPr="00927F20" w:rsidRDefault="23567AEC" w:rsidP="00B37A6D">
      <w:pPr>
        <w:pStyle w:val="ListParagraph"/>
        <w:numPr>
          <w:ilvl w:val="0"/>
          <w:numId w:val="5"/>
        </w:numPr>
        <w:tabs>
          <w:tab w:val="clear" w:pos="426"/>
        </w:tabs>
        <w:ind w:hanging="502"/>
        <w:rPr>
          <w:color w:val="auto"/>
        </w:rPr>
      </w:pPr>
      <w:r w:rsidRPr="00927F20">
        <w:rPr>
          <w:color w:val="auto"/>
        </w:rPr>
        <w:t>There are no equalities impacts arising directly from this report.</w:t>
      </w:r>
    </w:p>
    <w:p w14:paraId="53800F01" w14:textId="2E1B453E" w:rsidR="005E11ED" w:rsidRPr="00240FF5" w:rsidRDefault="005E11ED">
      <w:pPr>
        <w:spacing w:after="0"/>
        <w:rPr>
          <w:color w:val="auto"/>
          <w:highlight w:val="yellow"/>
        </w:rPr>
      </w:pPr>
    </w:p>
    <w:p w14:paraId="6BDF670E" w14:textId="77777777" w:rsidR="002329CF" w:rsidRDefault="002329CF" w:rsidP="004A6D2F">
      <w:pPr>
        <w:rPr>
          <w:color w:val="FF0000"/>
          <w:highlight w:val="yellow"/>
        </w:rPr>
      </w:pPr>
    </w:p>
    <w:p w14:paraId="401DE13A" w14:textId="77777777" w:rsidR="002116EC" w:rsidRDefault="002116EC" w:rsidP="004A6D2F">
      <w:pPr>
        <w:rPr>
          <w:color w:val="FF0000"/>
          <w:highlight w:val="yellow"/>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4E0E5B" w:rsidRPr="00240FF5" w14:paraId="3F3F1C2B" w14:textId="77777777" w:rsidTr="197BAE22">
        <w:trPr>
          <w:cantSplit/>
          <w:trHeight w:val="396"/>
        </w:trPr>
        <w:tc>
          <w:tcPr>
            <w:tcW w:w="3969" w:type="dxa"/>
            <w:tcBorders>
              <w:top w:val="single" w:sz="8" w:space="0" w:color="000000" w:themeColor="text1"/>
              <w:left w:val="single" w:sz="8" w:space="0" w:color="000000" w:themeColor="text1"/>
              <w:bottom w:val="single" w:sz="8" w:space="0" w:color="000000" w:themeColor="text1"/>
              <w:right w:val="nil"/>
            </w:tcBorders>
          </w:tcPr>
          <w:p w14:paraId="72CC7380" w14:textId="642CAF65" w:rsidR="00E87F7A" w:rsidRPr="00240FF5" w:rsidRDefault="00E87F7A" w:rsidP="00A46E98">
            <w:pPr>
              <w:rPr>
                <w:b/>
                <w:color w:val="auto"/>
              </w:rPr>
            </w:pPr>
            <w:r w:rsidRPr="00240FF5">
              <w:rPr>
                <w:b/>
                <w:color w:val="auto"/>
              </w:rPr>
              <w:t>Report autho</w:t>
            </w:r>
            <w:r w:rsidR="00BC1A47">
              <w:rPr>
                <w:b/>
                <w:color w:val="auto"/>
              </w:rPr>
              <w:t>r</w:t>
            </w:r>
          </w:p>
        </w:tc>
        <w:tc>
          <w:tcPr>
            <w:tcW w:w="4962" w:type="dxa"/>
            <w:tcBorders>
              <w:top w:val="single" w:sz="8" w:space="0" w:color="000000" w:themeColor="text1"/>
              <w:left w:val="nil"/>
              <w:bottom w:val="single" w:sz="8" w:space="0" w:color="000000" w:themeColor="text1"/>
              <w:right w:val="single" w:sz="8" w:space="0" w:color="000000" w:themeColor="text1"/>
            </w:tcBorders>
          </w:tcPr>
          <w:p w14:paraId="1A4E0C6B" w14:textId="4641E254" w:rsidR="00256350" w:rsidRPr="00240FF5" w:rsidRDefault="00BB3BC1" w:rsidP="00256350">
            <w:pPr>
              <w:rPr>
                <w:color w:val="auto"/>
              </w:rPr>
            </w:pPr>
            <w:r>
              <w:rPr>
                <w:color w:val="auto"/>
              </w:rPr>
              <w:t>Clare Paterson</w:t>
            </w:r>
          </w:p>
        </w:tc>
      </w:tr>
      <w:tr w:rsidR="004E0E5B" w:rsidRPr="00240FF5" w14:paraId="074DE641" w14:textId="77777777" w:rsidTr="197BAE22">
        <w:trPr>
          <w:cantSplit/>
          <w:trHeight w:val="396"/>
        </w:trPr>
        <w:tc>
          <w:tcPr>
            <w:tcW w:w="3969" w:type="dxa"/>
            <w:tcBorders>
              <w:top w:val="single" w:sz="8" w:space="0" w:color="000000" w:themeColor="text1"/>
              <w:left w:val="single" w:sz="8" w:space="0" w:color="000000" w:themeColor="text1"/>
              <w:bottom w:val="nil"/>
              <w:right w:val="nil"/>
            </w:tcBorders>
          </w:tcPr>
          <w:p w14:paraId="73287968" w14:textId="77777777" w:rsidR="00E87F7A" w:rsidRPr="00240FF5" w:rsidRDefault="00E87F7A" w:rsidP="00A46E98">
            <w:pPr>
              <w:rPr>
                <w:color w:val="auto"/>
              </w:rPr>
            </w:pPr>
            <w:r w:rsidRPr="00240FF5">
              <w:rPr>
                <w:color w:val="auto"/>
              </w:rPr>
              <w:t>Job title</w:t>
            </w:r>
          </w:p>
        </w:tc>
        <w:tc>
          <w:tcPr>
            <w:tcW w:w="4962" w:type="dxa"/>
            <w:tcBorders>
              <w:top w:val="single" w:sz="8" w:space="0" w:color="000000" w:themeColor="text1"/>
              <w:left w:val="nil"/>
              <w:bottom w:val="nil"/>
              <w:right w:val="single" w:sz="8" w:space="0" w:color="000000" w:themeColor="text1"/>
            </w:tcBorders>
          </w:tcPr>
          <w:p w14:paraId="42FD37AE" w14:textId="629A4D09" w:rsidR="00256350" w:rsidRPr="00240FF5" w:rsidRDefault="00BB3BC1" w:rsidP="007A64CE">
            <w:pPr>
              <w:rPr>
                <w:color w:val="auto"/>
              </w:rPr>
            </w:pPr>
            <w:r>
              <w:rPr>
                <w:color w:val="auto"/>
              </w:rPr>
              <w:t>Strategic Finance Manager</w:t>
            </w:r>
          </w:p>
        </w:tc>
      </w:tr>
      <w:tr w:rsidR="004E0E5B" w:rsidRPr="00240FF5" w14:paraId="678C66FC" w14:textId="77777777" w:rsidTr="197BAE22">
        <w:trPr>
          <w:cantSplit/>
          <w:trHeight w:val="396"/>
        </w:trPr>
        <w:tc>
          <w:tcPr>
            <w:tcW w:w="3969" w:type="dxa"/>
            <w:tcBorders>
              <w:top w:val="nil"/>
              <w:left w:val="single" w:sz="8" w:space="0" w:color="000000" w:themeColor="text1"/>
              <w:bottom w:val="nil"/>
              <w:right w:val="nil"/>
            </w:tcBorders>
          </w:tcPr>
          <w:p w14:paraId="52870F7F" w14:textId="77777777" w:rsidR="00E87F7A" w:rsidRPr="00240FF5" w:rsidRDefault="00E87F7A" w:rsidP="00A46E98">
            <w:pPr>
              <w:rPr>
                <w:color w:val="auto"/>
              </w:rPr>
            </w:pPr>
            <w:r w:rsidRPr="00240FF5">
              <w:rPr>
                <w:color w:val="auto"/>
              </w:rPr>
              <w:t>Service area or department</w:t>
            </w:r>
          </w:p>
        </w:tc>
        <w:tc>
          <w:tcPr>
            <w:tcW w:w="4962" w:type="dxa"/>
            <w:tcBorders>
              <w:top w:val="nil"/>
              <w:left w:val="nil"/>
              <w:bottom w:val="nil"/>
              <w:right w:val="single" w:sz="8" w:space="0" w:color="000000" w:themeColor="text1"/>
            </w:tcBorders>
          </w:tcPr>
          <w:p w14:paraId="226A6AB5" w14:textId="018AA793" w:rsidR="00E87F7A" w:rsidRPr="00240FF5" w:rsidRDefault="00256350" w:rsidP="004E0E5B">
            <w:pPr>
              <w:rPr>
                <w:color w:val="auto"/>
              </w:rPr>
            </w:pPr>
            <w:r w:rsidRPr="00240FF5">
              <w:rPr>
                <w:color w:val="auto"/>
              </w:rPr>
              <w:t>Financial Services</w:t>
            </w:r>
          </w:p>
        </w:tc>
      </w:tr>
      <w:tr w:rsidR="004E0E5B" w:rsidRPr="00240FF5" w14:paraId="0FC83DD0" w14:textId="77777777" w:rsidTr="197BAE22">
        <w:trPr>
          <w:cantSplit/>
          <w:trHeight w:val="396"/>
        </w:trPr>
        <w:tc>
          <w:tcPr>
            <w:tcW w:w="3969" w:type="dxa"/>
            <w:tcBorders>
              <w:top w:val="nil"/>
              <w:left w:val="single" w:sz="8" w:space="0" w:color="000000" w:themeColor="text1"/>
              <w:bottom w:val="nil"/>
              <w:right w:val="nil"/>
            </w:tcBorders>
          </w:tcPr>
          <w:p w14:paraId="1057CB75" w14:textId="77777777" w:rsidR="00E87F7A" w:rsidRPr="00240FF5" w:rsidRDefault="00E87F7A" w:rsidP="00A46E98">
            <w:pPr>
              <w:rPr>
                <w:color w:val="auto"/>
              </w:rPr>
            </w:pPr>
            <w:r w:rsidRPr="00240FF5">
              <w:rPr>
                <w:color w:val="auto"/>
              </w:rPr>
              <w:t xml:space="preserve">Telephone </w:t>
            </w:r>
          </w:p>
        </w:tc>
        <w:tc>
          <w:tcPr>
            <w:tcW w:w="4962" w:type="dxa"/>
            <w:tcBorders>
              <w:top w:val="nil"/>
              <w:left w:val="nil"/>
              <w:bottom w:val="nil"/>
              <w:right w:val="single" w:sz="8" w:space="0" w:color="000000" w:themeColor="text1"/>
            </w:tcBorders>
          </w:tcPr>
          <w:p w14:paraId="13250F4A" w14:textId="64C2EEE2" w:rsidR="00E87F7A" w:rsidRPr="00240FF5" w:rsidRDefault="00E71B33" w:rsidP="00256350">
            <w:pPr>
              <w:rPr>
                <w:color w:val="auto"/>
              </w:rPr>
            </w:pPr>
            <w:r w:rsidRPr="00240FF5">
              <w:rPr>
                <w:color w:val="auto"/>
              </w:rPr>
              <w:t xml:space="preserve">01865 </w:t>
            </w:r>
            <w:r w:rsidR="002C65A7" w:rsidRPr="00240FF5">
              <w:rPr>
                <w:color w:val="auto"/>
              </w:rPr>
              <w:t>252</w:t>
            </w:r>
            <w:r w:rsidR="00BB3BC1">
              <w:rPr>
                <w:color w:val="auto"/>
              </w:rPr>
              <w:t>442</w:t>
            </w:r>
          </w:p>
        </w:tc>
      </w:tr>
      <w:tr w:rsidR="004E0E5B" w:rsidRPr="00240FF5" w14:paraId="0BA42F9E" w14:textId="77777777" w:rsidTr="197BAE22">
        <w:trPr>
          <w:cantSplit/>
          <w:trHeight w:val="396"/>
        </w:trPr>
        <w:tc>
          <w:tcPr>
            <w:tcW w:w="3969" w:type="dxa"/>
            <w:tcBorders>
              <w:top w:val="nil"/>
              <w:left w:val="single" w:sz="8" w:space="0" w:color="000000" w:themeColor="text1"/>
              <w:bottom w:val="single" w:sz="8" w:space="0" w:color="000000" w:themeColor="text1"/>
              <w:right w:val="nil"/>
            </w:tcBorders>
          </w:tcPr>
          <w:p w14:paraId="0FF80352" w14:textId="77777777" w:rsidR="00E87F7A" w:rsidRPr="00240FF5" w:rsidRDefault="00E87F7A" w:rsidP="00A46E98">
            <w:pPr>
              <w:rPr>
                <w:color w:val="auto"/>
              </w:rPr>
            </w:pPr>
            <w:r w:rsidRPr="00240FF5">
              <w:rPr>
                <w:color w:val="auto"/>
              </w:rPr>
              <w:t xml:space="preserve">e-mail </w:t>
            </w:r>
          </w:p>
        </w:tc>
        <w:tc>
          <w:tcPr>
            <w:tcW w:w="4962" w:type="dxa"/>
            <w:tcBorders>
              <w:top w:val="nil"/>
              <w:left w:val="nil"/>
              <w:bottom w:val="single" w:sz="8" w:space="0" w:color="000000" w:themeColor="text1"/>
              <w:right w:val="single" w:sz="8" w:space="0" w:color="000000" w:themeColor="text1"/>
            </w:tcBorders>
          </w:tcPr>
          <w:p w14:paraId="38A42174" w14:textId="1CAC3506" w:rsidR="00E87F7A" w:rsidRPr="00240FF5" w:rsidRDefault="00BB3BC1" w:rsidP="004E0E5B">
            <w:pPr>
              <w:rPr>
                <w:rStyle w:val="Hyperlink"/>
                <w:color w:val="auto"/>
              </w:rPr>
            </w:pPr>
            <w:r w:rsidRPr="00BB3BC1">
              <w:rPr>
                <w:rStyle w:val="Hyperlink"/>
                <w:color w:val="000000" w:themeColor="text1"/>
              </w:rPr>
              <w:t>cpaterson</w:t>
            </w:r>
            <w:r w:rsidR="002C65A7" w:rsidRPr="00240FF5">
              <w:rPr>
                <w:rStyle w:val="Hyperlink"/>
                <w:color w:val="auto"/>
              </w:rPr>
              <w:t>@oxford.gov.uk</w:t>
            </w:r>
          </w:p>
        </w:tc>
      </w:tr>
    </w:tbl>
    <w:p w14:paraId="34C37706" w14:textId="77777777" w:rsidR="00433B96" w:rsidRPr="00240FF5" w:rsidRDefault="00433B96" w:rsidP="004A6D2F">
      <w:pPr>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4E0E5B" w:rsidRPr="00240FF5" w14:paraId="7B844727" w14:textId="77777777" w:rsidTr="00A46E98">
        <w:tc>
          <w:tcPr>
            <w:tcW w:w="8931" w:type="dxa"/>
            <w:tcBorders>
              <w:top w:val="single" w:sz="4" w:space="0" w:color="auto"/>
              <w:left w:val="single" w:sz="4" w:space="0" w:color="auto"/>
              <w:bottom w:val="single" w:sz="8" w:space="0" w:color="000000"/>
              <w:right w:val="single" w:sz="4" w:space="0" w:color="auto"/>
            </w:tcBorders>
          </w:tcPr>
          <w:p w14:paraId="49B9E49D" w14:textId="74482C5B" w:rsidR="0093067A" w:rsidRPr="00240FF5" w:rsidRDefault="00182B81" w:rsidP="00F41AC1">
            <w:pPr>
              <w:rPr>
                <w:color w:val="auto"/>
              </w:rPr>
            </w:pPr>
            <w:r w:rsidRPr="00240FF5">
              <w:rPr>
                <w:rStyle w:val="Firstpagetablebold"/>
                <w:color w:val="auto"/>
              </w:rPr>
              <w:t>Background Papers</w:t>
            </w:r>
            <w:r w:rsidRPr="00861CB6">
              <w:rPr>
                <w:rStyle w:val="Firstpagetablebold"/>
                <w:color w:val="auto"/>
              </w:rPr>
              <w:t xml:space="preserve">: </w:t>
            </w:r>
            <w:r w:rsidR="009A32CA" w:rsidRPr="00861CB6">
              <w:rPr>
                <w:rStyle w:val="Firstpagetablebold"/>
                <w:b w:val="0"/>
                <w:color w:val="auto"/>
              </w:rPr>
              <w:t xml:space="preserve">‘Risk Management Reporting </w:t>
            </w:r>
            <w:proofErr w:type="gramStart"/>
            <w:r w:rsidR="009A32CA" w:rsidRPr="00861CB6">
              <w:rPr>
                <w:rStyle w:val="Firstpagetablebold"/>
                <w:b w:val="0"/>
                <w:color w:val="auto"/>
              </w:rPr>
              <w:t>at</w:t>
            </w:r>
            <w:proofErr w:type="gramEnd"/>
            <w:r w:rsidR="009A32CA" w:rsidRPr="00861CB6">
              <w:rPr>
                <w:rStyle w:val="Firstpagetablebold"/>
                <w:b w:val="0"/>
                <w:color w:val="auto"/>
              </w:rPr>
              <w:t xml:space="preserve"> 3</w:t>
            </w:r>
            <w:r w:rsidR="00861CB6" w:rsidRPr="00861CB6">
              <w:rPr>
                <w:rStyle w:val="Firstpagetablebold"/>
                <w:b w:val="0"/>
                <w:color w:val="auto"/>
              </w:rPr>
              <w:t>0 June</w:t>
            </w:r>
            <w:r w:rsidR="009A32CA" w:rsidRPr="00861CB6">
              <w:rPr>
                <w:rStyle w:val="Firstpagetablebold"/>
                <w:b w:val="0"/>
                <w:color w:val="auto"/>
              </w:rPr>
              <w:t xml:space="preserve"> 202</w:t>
            </w:r>
            <w:r w:rsidR="00861CB6" w:rsidRPr="00861CB6">
              <w:rPr>
                <w:rStyle w:val="Firstpagetablebold"/>
                <w:b w:val="0"/>
                <w:color w:val="auto"/>
              </w:rPr>
              <w:t>5</w:t>
            </w:r>
            <w:r w:rsidR="009A32CA" w:rsidRPr="00861CB6">
              <w:rPr>
                <w:rStyle w:val="Firstpagetablebold"/>
                <w:b w:val="0"/>
                <w:color w:val="auto"/>
              </w:rPr>
              <w:t>’ report to the Audit and Governance Committee dated 2</w:t>
            </w:r>
            <w:r w:rsidR="00861CB6" w:rsidRPr="00861CB6">
              <w:rPr>
                <w:rStyle w:val="Firstpagetablebold"/>
                <w:b w:val="0"/>
                <w:color w:val="auto"/>
              </w:rPr>
              <w:t>3</w:t>
            </w:r>
            <w:r w:rsidR="00861CB6" w:rsidRPr="00861CB6">
              <w:rPr>
                <w:rStyle w:val="Firstpagetablebold"/>
                <w:b w:val="0"/>
                <w:color w:val="auto"/>
                <w:vertAlign w:val="superscript"/>
              </w:rPr>
              <w:t>rd</w:t>
            </w:r>
            <w:r w:rsidR="00861CB6" w:rsidRPr="00861CB6">
              <w:rPr>
                <w:rStyle w:val="Firstpagetablebold"/>
                <w:b w:val="0"/>
                <w:color w:val="auto"/>
              </w:rPr>
              <w:t xml:space="preserve"> July</w:t>
            </w:r>
            <w:r w:rsidR="009A32CA" w:rsidRPr="00861CB6">
              <w:rPr>
                <w:rStyle w:val="Firstpagetablebold"/>
                <w:b w:val="0"/>
                <w:color w:val="auto"/>
              </w:rPr>
              <w:t xml:space="preserve"> 2025</w:t>
            </w:r>
          </w:p>
        </w:tc>
      </w:tr>
    </w:tbl>
    <w:p w14:paraId="6263B363" w14:textId="77777777" w:rsidR="00CE4C87" w:rsidRPr="00240FF5" w:rsidRDefault="00CE4C87" w:rsidP="0093067A">
      <w:pPr>
        <w:rPr>
          <w:color w:val="auto"/>
        </w:rPr>
      </w:pPr>
    </w:p>
    <w:p w14:paraId="652722F8" w14:textId="77777777" w:rsidR="00415FA3" w:rsidRDefault="00415FA3" w:rsidP="008E31C9">
      <w:pPr>
        <w:spacing w:after="0"/>
        <w:ind w:left="142"/>
        <w:rPr>
          <w:b/>
          <w:color w:val="auto"/>
        </w:rPr>
      </w:pPr>
    </w:p>
    <w:p w14:paraId="25E5CDF5" w14:textId="3B130EAF" w:rsidR="0054712D" w:rsidRDefault="0054712D" w:rsidP="008E31C9">
      <w:pPr>
        <w:spacing w:after="0"/>
        <w:ind w:left="142"/>
        <w:rPr>
          <w:b/>
          <w:color w:val="auto"/>
        </w:rPr>
      </w:pPr>
      <w:r w:rsidRPr="00240FF5">
        <w:rPr>
          <w:b/>
          <w:color w:val="auto"/>
        </w:rPr>
        <w:t xml:space="preserve">Please note in the table </w:t>
      </w:r>
      <w:r w:rsidR="00C85B4E" w:rsidRPr="00240FF5">
        <w:rPr>
          <w:b/>
          <w:color w:val="auto"/>
        </w:rPr>
        <w:t xml:space="preserve">below </w:t>
      </w:r>
      <w:r w:rsidRPr="00240FF5">
        <w:rPr>
          <w:b/>
          <w:color w:val="auto"/>
        </w:rPr>
        <w:t xml:space="preserve">the version number of your report that was </w:t>
      </w:r>
      <w:r w:rsidR="00C85B4E" w:rsidRPr="00240FF5">
        <w:rPr>
          <w:b/>
          <w:color w:val="auto"/>
        </w:rPr>
        <w:t xml:space="preserve">finally </w:t>
      </w:r>
      <w:r w:rsidRPr="00240FF5">
        <w:rPr>
          <w:b/>
          <w:color w:val="auto"/>
        </w:rPr>
        <w:t>cleared</w:t>
      </w:r>
      <w:r w:rsidR="00C85B4E" w:rsidRPr="00240FF5">
        <w:rPr>
          <w:b/>
          <w:color w:val="auto"/>
        </w:rPr>
        <w:t xml:space="preserve"> </w:t>
      </w:r>
      <w:r w:rsidRPr="00240FF5">
        <w:rPr>
          <w:b/>
          <w:color w:val="auto"/>
        </w:rPr>
        <w:t>at each stage</w:t>
      </w:r>
    </w:p>
    <w:p w14:paraId="41A755F3" w14:textId="054B3B56" w:rsidR="006A6BF4" w:rsidRDefault="006A6BF4">
      <w:pPr>
        <w:spacing w:after="0"/>
        <w:rPr>
          <w:b/>
          <w:color w:val="auto"/>
        </w:rPr>
      </w:pPr>
    </w:p>
    <w:p w14:paraId="2469633C" w14:textId="77777777" w:rsidR="006A6BF4" w:rsidRPr="00240FF5" w:rsidRDefault="006A6BF4" w:rsidP="006A6BF4">
      <w:pPr>
        <w:spacing w:after="0"/>
        <w:rPr>
          <w:b/>
          <w:color w:val="aut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2"/>
        <w:gridCol w:w="2551"/>
      </w:tblGrid>
      <w:tr w:rsidR="004E0E5B" w:rsidRPr="00240FF5" w14:paraId="0E5523A4" w14:textId="77777777" w:rsidTr="008E31C9">
        <w:trPr>
          <w:trHeight w:val="409"/>
        </w:trPr>
        <w:tc>
          <w:tcPr>
            <w:tcW w:w="5342" w:type="dxa"/>
          </w:tcPr>
          <w:p w14:paraId="33D6FAD5" w14:textId="77777777" w:rsidR="004456DD" w:rsidRPr="00240FF5" w:rsidRDefault="004456DD" w:rsidP="00BC1A47">
            <w:pPr>
              <w:spacing w:before="120"/>
              <w:rPr>
                <w:b/>
                <w:color w:val="auto"/>
              </w:rPr>
            </w:pPr>
            <w:r w:rsidRPr="00240FF5">
              <w:rPr>
                <w:b/>
                <w:color w:val="auto"/>
              </w:rPr>
              <w:t>Report Stage</w:t>
            </w:r>
          </w:p>
        </w:tc>
        <w:tc>
          <w:tcPr>
            <w:tcW w:w="2551" w:type="dxa"/>
            <w:vAlign w:val="center"/>
          </w:tcPr>
          <w:p w14:paraId="59618C6D" w14:textId="77777777" w:rsidR="004456DD" w:rsidRPr="00240FF5" w:rsidRDefault="004456DD" w:rsidP="00BC1A47">
            <w:pPr>
              <w:spacing w:before="120"/>
              <w:jc w:val="center"/>
              <w:rPr>
                <w:b/>
                <w:color w:val="auto"/>
              </w:rPr>
            </w:pPr>
            <w:r w:rsidRPr="00240FF5">
              <w:rPr>
                <w:b/>
                <w:color w:val="auto"/>
              </w:rPr>
              <w:t>Version</w:t>
            </w:r>
            <w:r w:rsidR="0080749A" w:rsidRPr="00240FF5">
              <w:rPr>
                <w:b/>
                <w:color w:val="auto"/>
              </w:rPr>
              <w:t xml:space="preserve"> </w:t>
            </w:r>
            <w:r w:rsidRPr="00240FF5">
              <w:rPr>
                <w:b/>
                <w:color w:val="auto"/>
              </w:rPr>
              <w:t>Number</w:t>
            </w:r>
          </w:p>
        </w:tc>
      </w:tr>
      <w:tr w:rsidR="004E0E5B" w:rsidRPr="00240FF5" w14:paraId="0E4C7153" w14:textId="77777777" w:rsidTr="008E31C9">
        <w:tc>
          <w:tcPr>
            <w:tcW w:w="5342" w:type="dxa"/>
          </w:tcPr>
          <w:p w14:paraId="73450F96" w14:textId="77777777" w:rsidR="00C85B4E" w:rsidRPr="00240FF5" w:rsidRDefault="004456DD" w:rsidP="00BC1A47">
            <w:pPr>
              <w:spacing w:before="120"/>
              <w:rPr>
                <w:color w:val="auto"/>
              </w:rPr>
            </w:pPr>
            <w:r w:rsidRPr="00240FF5">
              <w:rPr>
                <w:b/>
                <w:color w:val="auto"/>
              </w:rPr>
              <w:t>First Draft:</w:t>
            </w:r>
            <w:r w:rsidRPr="00240FF5">
              <w:rPr>
                <w:color w:val="auto"/>
              </w:rPr>
              <w:t xml:space="preserve"> </w:t>
            </w:r>
          </w:p>
          <w:p w14:paraId="3B73D27F" w14:textId="77777777" w:rsidR="004456DD" w:rsidRPr="00240FF5" w:rsidRDefault="004456DD" w:rsidP="00BC1A47">
            <w:pPr>
              <w:spacing w:before="120"/>
              <w:rPr>
                <w:color w:val="auto"/>
              </w:rPr>
            </w:pPr>
            <w:r w:rsidRPr="00240FF5">
              <w:rPr>
                <w:i/>
                <w:color w:val="auto"/>
              </w:rPr>
              <w:t>Commissioned and cleared by Director</w:t>
            </w:r>
          </w:p>
        </w:tc>
        <w:tc>
          <w:tcPr>
            <w:tcW w:w="2551" w:type="dxa"/>
            <w:vAlign w:val="center"/>
          </w:tcPr>
          <w:p w14:paraId="655F2647" w14:textId="005F49AE" w:rsidR="004456DD" w:rsidRPr="00240FF5" w:rsidRDefault="00256350" w:rsidP="00BC1A47">
            <w:pPr>
              <w:spacing w:before="120"/>
              <w:jc w:val="center"/>
              <w:rPr>
                <w:color w:val="auto"/>
              </w:rPr>
            </w:pPr>
            <w:r w:rsidRPr="00240FF5">
              <w:rPr>
                <w:color w:val="auto"/>
              </w:rPr>
              <w:t>V</w:t>
            </w:r>
            <w:r w:rsidR="008F094F" w:rsidRPr="00240FF5">
              <w:rPr>
                <w:color w:val="auto"/>
              </w:rPr>
              <w:t>1</w:t>
            </w:r>
            <w:r w:rsidR="007A64CE">
              <w:rPr>
                <w:color w:val="auto"/>
              </w:rPr>
              <w:t>.0</w:t>
            </w:r>
          </w:p>
        </w:tc>
      </w:tr>
      <w:tr w:rsidR="004E0E5B" w:rsidRPr="00240FF5" w14:paraId="7A53668F" w14:textId="77777777" w:rsidTr="008E31C9">
        <w:tc>
          <w:tcPr>
            <w:tcW w:w="5342" w:type="dxa"/>
          </w:tcPr>
          <w:p w14:paraId="25A43679" w14:textId="77777777" w:rsidR="004456DD" w:rsidRPr="00240FF5" w:rsidRDefault="004456DD" w:rsidP="00BC1A47">
            <w:pPr>
              <w:spacing w:before="120"/>
              <w:rPr>
                <w:b/>
                <w:color w:val="auto"/>
              </w:rPr>
            </w:pPr>
            <w:r w:rsidRPr="00240FF5">
              <w:rPr>
                <w:b/>
                <w:color w:val="auto"/>
              </w:rPr>
              <w:t>Second Draft:</w:t>
            </w:r>
          </w:p>
          <w:p w14:paraId="27CA9813" w14:textId="77777777" w:rsidR="004456DD" w:rsidRPr="00240FF5" w:rsidRDefault="004456DD" w:rsidP="00BC1A47">
            <w:pPr>
              <w:spacing w:before="120"/>
              <w:rPr>
                <w:i/>
                <w:color w:val="auto"/>
              </w:rPr>
            </w:pPr>
            <w:r w:rsidRPr="00240FF5">
              <w:rPr>
                <w:i/>
                <w:color w:val="auto"/>
              </w:rPr>
              <w:t>Cleared by Legal and Finance</w:t>
            </w:r>
          </w:p>
        </w:tc>
        <w:tc>
          <w:tcPr>
            <w:tcW w:w="2551" w:type="dxa"/>
            <w:vAlign w:val="center"/>
          </w:tcPr>
          <w:p w14:paraId="2238DBC2" w14:textId="307FB2D3" w:rsidR="004456DD" w:rsidRPr="00240FF5" w:rsidRDefault="002116EC" w:rsidP="00BC1A47">
            <w:pPr>
              <w:spacing w:before="120"/>
              <w:jc w:val="center"/>
              <w:rPr>
                <w:color w:val="auto"/>
              </w:rPr>
            </w:pPr>
            <w:r>
              <w:rPr>
                <w:color w:val="auto"/>
              </w:rPr>
              <w:t>V2.0</w:t>
            </w:r>
          </w:p>
        </w:tc>
      </w:tr>
      <w:tr w:rsidR="00EB50A5" w:rsidRPr="00240FF5" w14:paraId="01F9D361" w14:textId="77777777" w:rsidTr="008E31C9">
        <w:tc>
          <w:tcPr>
            <w:tcW w:w="5342" w:type="dxa"/>
          </w:tcPr>
          <w:p w14:paraId="6C9267EB" w14:textId="7CE7AAAC" w:rsidR="004456DD" w:rsidRPr="00240FF5" w:rsidRDefault="004456DD" w:rsidP="00BC1A47">
            <w:pPr>
              <w:spacing w:before="120"/>
              <w:rPr>
                <w:b/>
                <w:color w:val="auto"/>
              </w:rPr>
            </w:pPr>
            <w:r w:rsidRPr="00240FF5">
              <w:rPr>
                <w:b/>
                <w:color w:val="auto"/>
              </w:rPr>
              <w:t>Organisational Draft:</w:t>
            </w:r>
          </w:p>
          <w:p w14:paraId="47A998D5" w14:textId="77777777" w:rsidR="004456DD" w:rsidRPr="00240FF5" w:rsidRDefault="004456DD" w:rsidP="00BC1A47">
            <w:pPr>
              <w:spacing w:before="120"/>
              <w:rPr>
                <w:i/>
                <w:color w:val="auto"/>
              </w:rPr>
            </w:pPr>
            <w:r w:rsidRPr="00240FF5">
              <w:rPr>
                <w:i/>
                <w:color w:val="auto"/>
              </w:rPr>
              <w:t>Cleared by the Chief Executive</w:t>
            </w:r>
          </w:p>
        </w:tc>
        <w:tc>
          <w:tcPr>
            <w:tcW w:w="2551" w:type="dxa"/>
            <w:vAlign w:val="center"/>
          </w:tcPr>
          <w:p w14:paraId="505903F6" w14:textId="00545F2F" w:rsidR="004456DD" w:rsidRPr="00240FF5" w:rsidRDefault="002116EC" w:rsidP="00BC1A47">
            <w:pPr>
              <w:spacing w:before="120"/>
              <w:jc w:val="center"/>
              <w:rPr>
                <w:color w:val="auto"/>
              </w:rPr>
            </w:pPr>
            <w:r>
              <w:rPr>
                <w:color w:val="auto"/>
              </w:rPr>
              <w:t>-</w:t>
            </w:r>
          </w:p>
        </w:tc>
      </w:tr>
      <w:tr w:rsidR="00EB50A5" w:rsidRPr="00240FF5" w14:paraId="65297FB9" w14:textId="77777777" w:rsidTr="008E31C9">
        <w:tc>
          <w:tcPr>
            <w:tcW w:w="5342" w:type="dxa"/>
          </w:tcPr>
          <w:p w14:paraId="682EF000" w14:textId="77777777" w:rsidR="004456DD" w:rsidRPr="00240FF5" w:rsidRDefault="004456DD" w:rsidP="00BC1A47">
            <w:pPr>
              <w:spacing w:before="120"/>
              <w:rPr>
                <w:b/>
                <w:color w:val="auto"/>
              </w:rPr>
            </w:pPr>
            <w:r w:rsidRPr="00240FF5">
              <w:rPr>
                <w:b/>
                <w:color w:val="auto"/>
              </w:rPr>
              <w:t>Final Draft:</w:t>
            </w:r>
          </w:p>
          <w:p w14:paraId="6BBA1FF1" w14:textId="77777777" w:rsidR="004456DD" w:rsidRPr="00240FF5" w:rsidRDefault="004456DD" w:rsidP="00BC1A47">
            <w:pPr>
              <w:spacing w:before="120"/>
              <w:rPr>
                <w:i/>
                <w:color w:val="auto"/>
              </w:rPr>
            </w:pPr>
            <w:r w:rsidRPr="00240FF5">
              <w:rPr>
                <w:i/>
                <w:color w:val="auto"/>
              </w:rPr>
              <w:t>Cleared by the Board Member</w:t>
            </w:r>
          </w:p>
        </w:tc>
        <w:tc>
          <w:tcPr>
            <w:tcW w:w="2551" w:type="dxa"/>
            <w:vAlign w:val="center"/>
          </w:tcPr>
          <w:p w14:paraId="5E685FA1" w14:textId="73681C15" w:rsidR="004456DD" w:rsidRPr="00240FF5" w:rsidRDefault="004456DD" w:rsidP="00BC1A47">
            <w:pPr>
              <w:spacing w:before="120"/>
              <w:jc w:val="center"/>
              <w:rPr>
                <w:color w:val="auto"/>
              </w:rPr>
            </w:pPr>
          </w:p>
        </w:tc>
      </w:tr>
      <w:tr w:rsidR="008E31C9" w:rsidRPr="00EB50A5" w14:paraId="785D41C9" w14:textId="77777777" w:rsidTr="008E31C9">
        <w:tc>
          <w:tcPr>
            <w:tcW w:w="5342" w:type="dxa"/>
          </w:tcPr>
          <w:p w14:paraId="4094EFED" w14:textId="77777777" w:rsidR="008E31C9" w:rsidRPr="00240FF5" w:rsidRDefault="008E31C9" w:rsidP="0027781A">
            <w:pPr>
              <w:spacing w:before="120"/>
              <w:rPr>
                <w:b/>
                <w:color w:val="auto"/>
              </w:rPr>
            </w:pPr>
            <w:r w:rsidRPr="00240FF5">
              <w:rPr>
                <w:b/>
                <w:color w:val="auto"/>
              </w:rPr>
              <w:t>Final Report:</w:t>
            </w:r>
          </w:p>
          <w:p w14:paraId="2CC52446" w14:textId="77777777" w:rsidR="008E31C9" w:rsidRPr="00EB50A5" w:rsidRDefault="008E31C9" w:rsidP="0027781A">
            <w:pPr>
              <w:spacing w:before="120"/>
              <w:rPr>
                <w:i/>
                <w:color w:val="auto"/>
              </w:rPr>
            </w:pPr>
            <w:r w:rsidRPr="00240FF5">
              <w:rPr>
                <w:i/>
                <w:color w:val="auto"/>
              </w:rPr>
              <w:t>Cleared by Labour Group</w:t>
            </w:r>
          </w:p>
        </w:tc>
        <w:tc>
          <w:tcPr>
            <w:tcW w:w="2551" w:type="dxa"/>
            <w:vAlign w:val="center"/>
          </w:tcPr>
          <w:p w14:paraId="220D6EB8" w14:textId="77777777" w:rsidR="008E31C9" w:rsidRPr="00EB50A5" w:rsidRDefault="008E31C9" w:rsidP="0027781A">
            <w:pPr>
              <w:spacing w:before="120"/>
              <w:jc w:val="center"/>
              <w:rPr>
                <w:color w:val="auto"/>
              </w:rPr>
            </w:pPr>
          </w:p>
        </w:tc>
      </w:tr>
    </w:tbl>
    <w:p w14:paraId="4A80A9DA" w14:textId="77777777" w:rsidR="008E31C9" w:rsidRDefault="008E31C9"/>
    <w:p w14:paraId="58A68410" w14:textId="1A213647" w:rsidR="007A01AA" w:rsidRDefault="007A01AA" w:rsidP="008E31C9">
      <w:pPr>
        <w:spacing w:after="0"/>
        <w:rPr>
          <w:color w:val="auto"/>
        </w:rPr>
      </w:pPr>
    </w:p>
    <w:sectPr w:rsidR="007A01AA" w:rsidSect="007A01AA">
      <w:headerReference w:type="first" r:id="rId14"/>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2694" w14:textId="77777777" w:rsidR="005F6AB2" w:rsidRDefault="005F6AB2" w:rsidP="004A6D2F">
      <w:r>
        <w:separator/>
      </w:r>
    </w:p>
  </w:endnote>
  <w:endnote w:type="continuationSeparator" w:id="0">
    <w:p w14:paraId="7CD37D79" w14:textId="77777777" w:rsidR="005F6AB2" w:rsidRDefault="005F6AB2" w:rsidP="004A6D2F">
      <w:r>
        <w:continuationSeparator/>
      </w:r>
    </w:p>
  </w:endnote>
  <w:endnote w:type="continuationNotice" w:id="1">
    <w:p w14:paraId="7E5403BD" w14:textId="77777777" w:rsidR="005F6AB2" w:rsidRDefault="005F6A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6A465" w14:textId="77777777" w:rsidR="005F6AB2" w:rsidRDefault="005F6AB2" w:rsidP="004A6D2F">
      <w:r>
        <w:separator/>
      </w:r>
    </w:p>
  </w:footnote>
  <w:footnote w:type="continuationSeparator" w:id="0">
    <w:p w14:paraId="1FDB47F0" w14:textId="77777777" w:rsidR="005F6AB2" w:rsidRDefault="005F6AB2" w:rsidP="004A6D2F">
      <w:r>
        <w:continuationSeparator/>
      </w:r>
    </w:p>
  </w:footnote>
  <w:footnote w:type="continuationNotice" w:id="1">
    <w:p w14:paraId="181E0479" w14:textId="77777777" w:rsidR="005F6AB2" w:rsidRDefault="005F6A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D7D8" w14:textId="518604A6" w:rsidR="007A01AA" w:rsidRDefault="007A01AA" w:rsidP="007A01AA">
    <w:pPr>
      <w:pStyle w:val="Header"/>
      <w:jc w:val="right"/>
    </w:pPr>
    <w:r w:rsidRPr="00612730">
      <w:rPr>
        <w:noProof/>
      </w:rPr>
      <w:drawing>
        <wp:anchor distT="0" distB="0" distL="114300" distR="114300" simplePos="0" relativeHeight="251658241" behindDoc="0" locked="0" layoutInCell="1" allowOverlap="1" wp14:anchorId="1A0E408C" wp14:editId="10DF7E9A">
          <wp:simplePos x="0" y="0"/>
          <wp:positionH relativeFrom="column">
            <wp:posOffset>5806440</wp:posOffset>
          </wp:positionH>
          <wp:positionV relativeFrom="paragraph">
            <wp:posOffset>-644525</wp:posOffset>
          </wp:positionV>
          <wp:extent cx="842645" cy="1121410"/>
          <wp:effectExtent l="0" t="0" r="0" b="2540"/>
          <wp:wrapNone/>
          <wp:docPr id="197224194" name="Picture 197224194"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1121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730">
      <w:rPr>
        <w:noProof/>
      </w:rPr>
      <w:drawing>
        <wp:anchor distT="0" distB="0" distL="114300" distR="114300" simplePos="0" relativeHeight="251658240" behindDoc="0" locked="0" layoutInCell="1" allowOverlap="1" wp14:anchorId="0DD715D7" wp14:editId="0F6D9A5F">
          <wp:simplePos x="0" y="0"/>
          <wp:positionH relativeFrom="column">
            <wp:posOffset>8940800</wp:posOffset>
          </wp:positionH>
          <wp:positionV relativeFrom="paragraph">
            <wp:posOffset>-647700</wp:posOffset>
          </wp:positionV>
          <wp:extent cx="842645" cy="1121410"/>
          <wp:effectExtent l="0" t="0" r="0" b="2540"/>
          <wp:wrapNone/>
          <wp:docPr id="395896451" name="Picture 39589645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764F90" w14:textId="77777777" w:rsidR="007A01AA" w:rsidRDefault="007A01AA" w:rsidP="00D554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2DBC"/>
    <w:multiLevelType w:val="hybridMultilevel"/>
    <w:tmpl w:val="3C5AC870"/>
    <w:lvl w:ilvl="0" w:tplc="1EF29D9E">
      <w:start w:val="1"/>
      <w:numFmt w:val="bullet"/>
      <w:lvlText w:val=""/>
      <w:lvlJc w:val="left"/>
      <w:pPr>
        <w:ind w:left="720" w:hanging="360"/>
      </w:pPr>
      <w:rPr>
        <w:rFonts w:ascii="Symbol" w:hAnsi="Symbol" w:hint="default"/>
      </w:rPr>
    </w:lvl>
    <w:lvl w:ilvl="1" w:tplc="1FD48018">
      <w:start w:val="1"/>
      <w:numFmt w:val="bullet"/>
      <w:lvlText w:val="o"/>
      <w:lvlJc w:val="left"/>
      <w:pPr>
        <w:ind w:left="1440" w:hanging="360"/>
      </w:pPr>
      <w:rPr>
        <w:rFonts w:ascii="Courier New" w:hAnsi="Courier New" w:hint="default"/>
      </w:rPr>
    </w:lvl>
    <w:lvl w:ilvl="2" w:tplc="B5921CE0">
      <w:start w:val="1"/>
      <w:numFmt w:val="bullet"/>
      <w:lvlText w:val=""/>
      <w:lvlJc w:val="left"/>
      <w:pPr>
        <w:ind w:left="2160" w:hanging="360"/>
      </w:pPr>
      <w:rPr>
        <w:rFonts w:ascii="Wingdings" w:hAnsi="Wingdings" w:hint="default"/>
      </w:rPr>
    </w:lvl>
    <w:lvl w:ilvl="3" w:tplc="1BD89EDC">
      <w:start w:val="1"/>
      <w:numFmt w:val="bullet"/>
      <w:lvlText w:val=""/>
      <w:lvlJc w:val="left"/>
      <w:pPr>
        <w:ind w:left="2880" w:hanging="360"/>
      </w:pPr>
      <w:rPr>
        <w:rFonts w:ascii="Symbol" w:hAnsi="Symbol" w:hint="default"/>
      </w:rPr>
    </w:lvl>
    <w:lvl w:ilvl="4" w:tplc="0BCCEAE0">
      <w:start w:val="1"/>
      <w:numFmt w:val="bullet"/>
      <w:lvlText w:val="o"/>
      <w:lvlJc w:val="left"/>
      <w:pPr>
        <w:ind w:left="3600" w:hanging="360"/>
      </w:pPr>
      <w:rPr>
        <w:rFonts w:ascii="Courier New" w:hAnsi="Courier New" w:hint="default"/>
      </w:rPr>
    </w:lvl>
    <w:lvl w:ilvl="5" w:tplc="55949E6E">
      <w:start w:val="1"/>
      <w:numFmt w:val="bullet"/>
      <w:lvlText w:val=""/>
      <w:lvlJc w:val="left"/>
      <w:pPr>
        <w:ind w:left="4320" w:hanging="360"/>
      </w:pPr>
      <w:rPr>
        <w:rFonts w:ascii="Wingdings" w:hAnsi="Wingdings" w:hint="default"/>
      </w:rPr>
    </w:lvl>
    <w:lvl w:ilvl="6" w:tplc="7DA81A2A">
      <w:start w:val="1"/>
      <w:numFmt w:val="bullet"/>
      <w:lvlText w:val=""/>
      <w:lvlJc w:val="left"/>
      <w:pPr>
        <w:ind w:left="5040" w:hanging="360"/>
      </w:pPr>
      <w:rPr>
        <w:rFonts w:ascii="Symbol" w:hAnsi="Symbol" w:hint="default"/>
      </w:rPr>
    </w:lvl>
    <w:lvl w:ilvl="7" w:tplc="FE0CB26A">
      <w:start w:val="1"/>
      <w:numFmt w:val="bullet"/>
      <w:lvlText w:val="o"/>
      <w:lvlJc w:val="left"/>
      <w:pPr>
        <w:ind w:left="5760" w:hanging="360"/>
      </w:pPr>
      <w:rPr>
        <w:rFonts w:ascii="Courier New" w:hAnsi="Courier New" w:hint="default"/>
      </w:rPr>
    </w:lvl>
    <w:lvl w:ilvl="8" w:tplc="0AEED22A">
      <w:start w:val="1"/>
      <w:numFmt w:val="bullet"/>
      <w:lvlText w:val=""/>
      <w:lvlJc w:val="left"/>
      <w:pPr>
        <w:ind w:left="6480" w:hanging="360"/>
      </w:pPr>
      <w:rPr>
        <w:rFonts w:ascii="Wingdings" w:hAnsi="Wingdings" w:hint="default"/>
      </w:rPr>
    </w:lvl>
  </w:abstractNum>
  <w:abstractNum w:abstractNumId="1" w15:restartNumberingAfterBreak="0">
    <w:nsid w:val="02790153"/>
    <w:multiLevelType w:val="hybridMultilevel"/>
    <w:tmpl w:val="68C4A464"/>
    <w:lvl w:ilvl="0" w:tplc="0809000F">
      <w:start w:val="1"/>
      <w:numFmt w:val="decimal"/>
      <w:lvlText w:val="%1."/>
      <w:lvlJc w:val="left"/>
      <w:pPr>
        <w:ind w:left="786"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C30BB"/>
    <w:multiLevelType w:val="multilevel"/>
    <w:tmpl w:val="E67CE66C"/>
    <w:styleLink w:val="StyleNumberedLeft0cmHanging075cm"/>
    <w:lvl w:ilvl="0">
      <w:start w:val="1"/>
      <w:numFmt w:val="decimal"/>
      <w:lvlText w:val="%1."/>
      <w:lvlJc w:val="left"/>
      <w:pPr>
        <w:ind w:left="786"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FD5F21"/>
    <w:multiLevelType w:val="hybridMultilevel"/>
    <w:tmpl w:val="92BE183C"/>
    <w:lvl w:ilvl="0" w:tplc="126C3CA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6E56A9"/>
    <w:multiLevelType w:val="hybridMultilevel"/>
    <w:tmpl w:val="BBC28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AE4C09"/>
    <w:multiLevelType w:val="hybridMultilevel"/>
    <w:tmpl w:val="578A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F70E84"/>
    <w:multiLevelType w:val="hybridMultilevel"/>
    <w:tmpl w:val="4BD47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B506B1"/>
    <w:multiLevelType w:val="hybridMultilevel"/>
    <w:tmpl w:val="A51E06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DA505B7"/>
    <w:multiLevelType w:val="multilevel"/>
    <w:tmpl w:val="650E48E0"/>
    <w:lvl w:ilvl="0">
      <w:start w:val="1"/>
      <w:numFmt w:val="bullet"/>
      <w:lvlText w:val=""/>
      <w:lvlJc w:val="left"/>
      <w:pPr>
        <w:ind w:left="1495" w:hanging="360"/>
      </w:pPr>
      <w:rPr>
        <w:rFonts w:ascii="Symbol" w:hAnsi="Symbol" w:hint="default"/>
        <w:b w:val="0"/>
        <w:bCs w:val="0"/>
        <w:color w:val="000000"/>
        <w:sz w:val="24"/>
      </w:rPr>
    </w:lvl>
    <w:lvl w:ilvl="1">
      <w:start w:val="1"/>
      <w:numFmt w:val="bullet"/>
      <w:lvlText w:val=""/>
      <w:lvlJc w:val="left"/>
      <w:pPr>
        <w:ind w:left="1212" w:hanging="360"/>
      </w:pPr>
      <w:rPr>
        <w:rFonts w:ascii="Symbol" w:hAnsi="Symbol" w:hint="default"/>
        <w:color w:val="auto"/>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DB13732"/>
    <w:multiLevelType w:val="multilevel"/>
    <w:tmpl w:val="7D02256C"/>
    <w:lvl w:ilvl="0">
      <w:start w:val="1"/>
      <w:numFmt w:val="bullet"/>
      <w:lvlText w:val=""/>
      <w:lvlJc w:val="left"/>
      <w:pPr>
        <w:ind w:left="1495" w:hanging="360"/>
      </w:pPr>
      <w:rPr>
        <w:rFonts w:ascii="Symbol" w:hAnsi="Symbol" w:hint="default"/>
        <w:b w:val="0"/>
        <w:bCs w:val="0"/>
        <w:color w:val="000000"/>
        <w:sz w:val="24"/>
      </w:rPr>
    </w:lvl>
    <w:lvl w:ilvl="1">
      <w:start w:val="1"/>
      <w:numFmt w:val="bullet"/>
      <w:lvlText w:val=""/>
      <w:lvlJc w:val="left"/>
      <w:pPr>
        <w:ind w:left="1212" w:hanging="360"/>
      </w:pPr>
      <w:rPr>
        <w:rFonts w:ascii="Symbol" w:hAnsi="Symbol" w:hint="default"/>
        <w:color w:val="auto"/>
      </w:rPr>
    </w:lvl>
    <w:lvl w:ilvl="2">
      <w:start w:val="1"/>
      <w:numFmt w:val="bullet"/>
      <w:lvlText w:val="o"/>
      <w:lvlJc w:val="left"/>
      <w:pPr>
        <w:ind w:left="1980" w:hanging="360"/>
      </w:pPr>
      <w:rPr>
        <w:rFonts w:ascii="Courier New" w:hAnsi="Courier New" w:cs="Courier New"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0980FC5"/>
    <w:multiLevelType w:val="hybridMultilevel"/>
    <w:tmpl w:val="6D2838EC"/>
    <w:lvl w:ilvl="0" w:tplc="AFA25F0A">
      <w:start w:val="1"/>
      <w:numFmt w:val="bullet"/>
      <w:pStyle w:val="Bulletpoints"/>
      <w:lvlText w:val=""/>
      <w:lvlJc w:val="left"/>
      <w:pPr>
        <w:ind w:left="1080" w:hanging="360"/>
      </w:pPr>
      <w:rPr>
        <w:rFonts w:ascii="Symbol" w:hAnsi="Symbol" w:hint="default"/>
      </w:rPr>
    </w:lvl>
    <w:lvl w:ilvl="1" w:tplc="FFFFFFFF">
      <w:start w:val="1"/>
      <w:numFmt w:val="bullet"/>
      <w:lvlText w:val=""/>
      <w:lvlJc w:val="left"/>
      <w:pPr>
        <w:ind w:left="2062" w:hanging="360"/>
      </w:pPr>
      <w:rPr>
        <w:rFonts w:ascii="Symbol" w:hAnsi="Symbol" w:hint="default"/>
      </w:rPr>
    </w:lvl>
    <w:lvl w:ilvl="2" w:tplc="D9D2C864">
      <w:start w:val="16"/>
      <w:numFmt w:val="decimal"/>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4F75EE5"/>
    <w:multiLevelType w:val="hybridMultilevel"/>
    <w:tmpl w:val="CE10C382"/>
    <w:lvl w:ilvl="0" w:tplc="08090001">
      <w:start w:val="1"/>
      <w:numFmt w:val="bullet"/>
      <w:lvlText w:val=""/>
      <w:lvlJc w:val="left"/>
      <w:pPr>
        <w:ind w:left="2432" w:hanging="360"/>
      </w:pPr>
      <w:rPr>
        <w:rFonts w:ascii="Symbol" w:hAnsi="Symbol" w:hint="default"/>
      </w:rPr>
    </w:lvl>
    <w:lvl w:ilvl="1" w:tplc="FFFFFFFF" w:tentative="1">
      <w:start w:val="1"/>
      <w:numFmt w:val="bullet"/>
      <w:lvlText w:val="o"/>
      <w:lvlJc w:val="left"/>
      <w:pPr>
        <w:ind w:left="3152" w:hanging="360"/>
      </w:pPr>
      <w:rPr>
        <w:rFonts w:ascii="Courier New" w:hAnsi="Courier New" w:cs="Courier New" w:hint="default"/>
      </w:rPr>
    </w:lvl>
    <w:lvl w:ilvl="2" w:tplc="FFFFFFFF" w:tentative="1">
      <w:start w:val="1"/>
      <w:numFmt w:val="bullet"/>
      <w:lvlText w:val=""/>
      <w:lvlJc w:val="left"/>
      <w:pPr>
        <w:ind w:left="3872" w:hanging="360"/>
      </w:pPr>
      <w:rPr>
        <w:rFonts w:ascii="Wingdings" w:hAnsi="Wingdings" w:hint="default"/>
      </w:rPr>
    </w:lvl>
    <w:lvl w:ilvl="3" w:tplc="FFFFFFFF" w:tentative="1">
      <w:start w:val="1"/>
      <w:numFmt w:val="bullet"/>
      <w:lvlText w:val=""/>
      <w:lvlJc w:val="left"/>
      <w:pPr>
        <w:ind w:left="4592" w:hanging="360"/>
      </w:pPr>
      <w:rPr>
        <w:rFonts w:ascii="Symbol" w:hAnsi="Symbol" w:hint="default"/>
      </w:rPr>
    </w:lvl>
    <w:lvl w:ilvl="4" w:tplc="FFFFFFFF" w:tentative="1">
      <w:start w:val="1"/>
      <w:numFmt w:val="bullet"/>
      <w:lvlText w:val="o"/>
      <w:lvlJc w:val="left"/>
      <w:pPr>
        <w:ind w:left="5312" w:hanging="360"/>
      </w:pPr>
      <w:rPr>
        <w:rFonts w:ascii="Courier New" w:hAnsi="Courier New" w:cs="Courier New" w:hint="default"/>
      </w:rPr>
    </w:lvl>
    <w:lvl w:ilvl="5" w:tplc="FFFFFFFF" w:tentative="1">
      <w:start w:val="1"/>
      <w:numFmt w:val="bullet"/>
      <w:lvlText w:val=""/>
      <w:lvlJc w:val="left"/>
      <w:pPr>
        <w:ind w:left="6032" w:hanging="360"/>
      </w:pPr>
      <w:rPr>
        <w:rFonts w:ascii="Wingdings" w:hAnsi="Wingdings" w:hint="default"/>
      </w:rPr>
    </w:lvl>
    <w:lvl w:ilvl="6" w:tplc="FFFFFFFF" w:tentative="1">
      <w:start w:val="1"/>
      <w:numFmt w:val="bullet"/>
      <w:lvlText w:val=""/>
      <w:lvlJc w:val="left"/>
      <w:pPr>
        <w:ind w:left="6752" w:hanging="360"/>
      </w:pPr>
      <w:rPr>
        <w:rFonts w:ascii="Symbol" w:hAnsi="Symbol" w:hint="default"/>
      </w:rPr>
    </w:lvl>
    <w:lvl w:ilvl="7" w:tplc="FFFFFFFF" w:tentative="1">
      <w:start w:val="1"/>
      <w:numFmt w:val="bullet"/>
      <w:lvlText w:val="o"/>
      <w:lvlJc w:val="left"/>
      <w:pPr>
        <w:ind w:left="7472" w:hanging="360"/>
      </w:pPr>
      <w:rPr>
        <w:rFonts w:ascii="Courier New" w:hAnsi="Courier New" w:cs="Courier New" w:hint="default"/>
      </w:rPr>
    </w:lvl>
    <w:lvl w:ilvl="8" w:tplc="FFFFFFFF" w:tentative="1">
      <w:start w:val="1"/>
      <w:numFmt w:val="bullet"/>
      <w:lvlText w:val=""/>
      <w:lvlJc w:val="left"/>
      <w:pPr>
        <w:ind w:left="8192" w:hanging="360"/>
      </w:pPr>
      <w:rPr>
        <w:rFonts w:ascii="Wingdings" w:hAnsi="Wingdings" w:hint="default"/>
      </w:rPr>
    </w:lvl>
  </w:abstractNum>
  <w:abstractNum w:abstractNumId="13" w15:restartNumberingAfterBreak="0">
    <w:nsid w:val="277F6258"/>
    <w:multiLevelType w:val="hybridMultilevel"/>
    <w:tmpl w:val="6A584D3A"/>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4" w15:restartNumberingAfterBreak="0">
    <w:nsid w:val="2F7A0626"/>
    <w:multiLevelType w:val="hybridMultilevel"/>
    <w:tmpl w:val="D828F778"/>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2062" w:hanging="360"/>
      </w:pPr>
      <w:rPr>
        <w:rFonts w:ascii="Courier New" w:hAnsi="Courier New" w:cs="Courier New" w:hint="default"/>
      </w:rPr>
    </w:lvl>
    <w:lvl w:ilvl="2" w:tplc="FFFFFFFF">
      <w:start w:val="16"/>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08D5FF9"/>
    <w:multiLevelType w:val="hybridMultilevel"/>
    <w:tmpl w:val="19A8831C"/>
    <w:lvl w:ilvl="0" w:tplc="08090003">
      <w:start w:val="1"/>
      <w:numFmt w:val="bullet"/>
      <w:lvlText w:val="o"/>
      <w:lvlJc w:val="left"/>
      <w:pPr>
        <w:ind w:left="1350" w:hanging="360"/>
      </w:pPr>
      <w:rPr>
        <w:rFonts w:ascii="Courier New" w:hAnsi="Courier New" w:cs="Courier New" w:hint="default"/>
      </w:rPr>
    </w:lvl>
    <w:lvl w:ilvl="1" w:tplc="FFFFFFFF">
      <w:numFmt w:val="bullet"/>
      <w:lvlText w:val="•"/>
      <w:lvlJc w:val="left"/>
      <w:pPr>
        <w:ind w:left="2154" w:hanging="444"/>
      </w:pPr>
      <w:rPr>
        <w:rFonts w:ascii="Arial" w:eastAsia="Times New Roman" w:hAnsi="Arial" w:cs="Arial"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16" w15:restartNumberingAfterBreak="0">
    <w:nsid w:val="35A947D2"/>
    <w:multiLevelType w:val="hybridMultilevel"/>
    <w:tmpl w:val="33F48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AE3586B"/>
    <w:multiLevelType w:val="hybridMultilevel"/>
    <w:tmpl w:val="88CA416C"/>
    <w:lvl w:ilvl="0" w:tplc="0DDAB9E8">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3C2F0605"/>
    <w:multiLevelType w:val="hybridMultilevel"/>
    <w:tmpl w:val="2CF2CCD0"/>
    <w:lvl w:ilvl="0" w:tplc="08090003">
      <w:start w:val="1"/>
      <w:numFmt w:val="bullet"/>
      <w:lvlText w:val="o"/>
      <w:lvlJc w:val="left"/>
      <w:pPr>
        <w:ind w:left="1530" w:hanging="360"/>
      </w:pPr>
      <w:rPr>
        <w:rFonts w:ascii="Courier New" w:hAnsi="Courier New" w:cs="Courier New"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9"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2B55487"/>
    <w:multiLevelType w:val="multilevel"/>
    <w:tmpl w:val="7D02256C"/>
    <w:lvl w:ilvl="0">
      <w:start w:val="1"/>
      <w:numFmt w:val="bullet"/>
      <w:lvlText w:val=""/>
      <w:lvlJc w:val="left"/>
      <w:pPr>
        <w:ind w:left="1495" w:hanging="360"/>
      </w:pPr>
      <w:rPr>
        <w:rFonts w:ascii="Symbol" w:hAnsi="Symbol" w:hint="default"/>
        <w:b w:val="0"/>
        <w:bCs w:val="0"/>
        <w:color w:val="000000"/>
        <w:sz w:val="24"/>
      </w:rPr>
    </w:lvl>
    <w:lvl w:ilvl="1">
      <w:start w:val="1"/>
      <w:numFmt w:val="bullet"/>
      <w:lvlText w:val=""/>
      <w:lvlJc w:val="left"/>
      <w:pPr>
        <w:ind w:left="1212" w:hanging="360"/>
      </w:pPr>
      <w:rPr>
        <w:rFonts w:ascii="Symbol" w:hAnsi="Symbol" w:hint="default"/>
        <w:color w:val="auto"/>
      </w:rPr>
    </w:lvl>
    <w:lvl w:ilvl="2">
      <w:start w:val="1"/>
      <w:numFmt w:val="bullet"/>
      <w:lvlText w:val="o"/>
      <w:lvlJc w:val="left"/>
      <w:pPr>
        <w:ind w:left="1980" w:hanging="360"/>
      </w:pPr>
      <w:rPr>
        <w:rFonts w:ascii="Courier New" w:hAnsi="Courier New"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72B0F8F"/>
    <w:multiLevelType w:val="hybridMultilevel"/>
    <w:tmpl w:val="5596BB14"/>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2062" w:hanging="360"/>
      </w:pPr>
      <w:rPr>
        <w:rFonts w:ascii="Symbol" w:hAnsi="Symbol" w:hint="default"/>
      </w:rPr>
    </w:lvl>
    <w:lvl w:ilvl="2" w:tplc="FFFFFFFF">
      <w:start w:val="16"/>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D644670"/>
    <w:multiLevelType w:val="multilevel"/>
    <w:tmpl w:val="650E48E0"/>
    <w:lvl w:ilvl="0">
      <w:start w:val="1"/>
      <w:numFmt w:val="bullet"/>
      <w:lvlText w:val=""/>
      <w:lvlJc w:val="left"/>
      <w:pPr>
        <w:ind w:left="360" w:hanging="360"/>
      </w:pPr>
      <w:rPr>
        <w:rFonts w:ascii="Symbol" w:hAnsi="Symbol" w:hint="default"/>
        <w:b w:val="0"/>
        <w:bCs w:val="0"/>
        <w:color w:val="000000"/>
        <w:sz w:val="24"/>
      </w:rPr>
    </w:lvl>
    <w:lvl w:ilvl="1">
      <w:start w:val="1"/>
      <w:numFmt w:val="bullet"/>
      <w:lvlText w:val=""/>
      <w:lvlJc w:val="left"/>
      <w:pPr>
        <w:ind w:left="77" w:hanging="360"/>
      </w:pPr>
      <w:rPr>
        <w:rFonts w:ascii="Symbol" w:hAnsi="Symbol" w:hint="default"/>
        <w:color w:val="auto"/>
      </w:rPr>
    </w:lvl>
    <w:lvl w:ilvl="2">
      <w:start w:val="1"/>
      <w:numFmt w:val="bullet"/>
      <w:lvlText w:val=""/>
      <w:lvlJc w:val="left"/>
      <w:pPr>
        <w:ind w:left="845" w:hanging="360"/>
      </w:pPr>
      <w:rPr>
        <w:rFonts w:ascii="Symbol" w:hAnsi="Symbol" w:hint="default"/>
      </w:rPr>
    </w:lvl>
    <w:lvl w:ilvl="3">
      <w:start w:val="1"/>
      <w:numFmt w:val="decimal"/>
      <w:lvlText w:val="%4."/>
      <w:lvlJc w:val="left"/>
      <w:pPr>
        <w:ind w:left="1385" w:hanging="360"/>
      </w:pPr>
      <w:rPr>
        <w:rFonts w:hint="default"/>
      </w:rPr>
    </w:lvl>
    <w:lvl w:ilvl="4">
      <w:start w:val="1"/>
      <w:numFmt w:val="lowerLetter"/>
      <w:lvlText w:val="%5."/>
      <w:lvlJc w:val="left"/>
      <w:pPr>
        <w:ind w:left="2105" w:hanging="360"/>
      </w:pPr>
      <w:rPr>
        <w:rFonts w:hint="default"/>
      </w:rPr>
    </w:lvl>
    <w:lvl w:ilvl="5">
      <w:start w:val="1"/>
      <w:numFmt w:val="lowerRoman"/>
      <w:lvlText w:val="%6."/>
      <w:lvlJc w:val="right"/>
      <w:pPr>
        <w:ind w:left="2825" w:hanging="180"/>
      </w:pPr>
      <w:rPr>
        <w:rFonts w:hint="default"/>
      </w:rPr>
    </w:lvl>
    <w:lvl w:ilvl="6">
      <w:start w:val="1"/>
      <w:numFmt w:val="decimal"/>
      <w:lvlText w:val="%7."/>
      <w:lvlJc w:val="left"/>
      <w:pPr>
        <w:ind w:left="3545" w:hanging="360"/>
      </w:pPr>
      <w:rPr>
        <w:rFonts w:hint="default"/>
      </w:rPr>
    </w:lvl>
    <w:lvl w:ilvl="7">
      <w:start w:val="1"/>
      <w:numFmt w:val="lowerLetter"/>
      <w:lvlText w:val="%8."/>
      <w:lvlJc w:val="left"/>
      <w:pPr>
        <w:ind w:left="4265" w:hanging="360"/>
      </w:pPr>
      <w:rPr>
        <w:rFonts w:hint="default"/>
      </w:rPr>
    </w:lvl>
    <w:lvl w:ilvl="8">
      <w:start w:val="1"/>
      <w:numFmt w:val="lowerRoman"/>
      <w:lvlText w:val="%9."/>
      <w:lvlJc w:val="right"/>
      <w:pPr>
        <w:ind w:left="4985" w:hanging="180"/>
      </w:pPr>
      <w:rPr>
        <w:rFonts w:hint="default"/>
      </w:rPr>
    </w:lvl>
  </w:abstractNum>
  <w:abstractNum w:abstractNumId="23" w15:restartNumberingAfterBreak="0">
    <w:nsid w:val="4D700C60"/>
    <w:multiLevelType w:val="hybridMultilevel"/>
    <w:tmpl w:val="EE7CBD7C"/>
    <w:lvl w:ilvl="0" w:tplc="08090001">
      <w:start w:val="1"/>
      <w:numFmt w:val="bullet"/>
      <w:lvlText w:val=""/>
      <w:lvlJc w:val="left"/>
      <w:pPr>
        <w:ind w:left="2430" w:hanging="360"/>
      </w:pPr>
      <w:rPr>
        <w:rFonts w:ascii="Symbol" w:hAnsi="Symbol" w:hint="default"/>
      </w:rPr>
    </w:lvl>
    <w:lvl w:ilvl="1" w:tplc="08090003" w:tentative="1">
      <w:start w:val="1"/>
      <w:numFmt w:val="bullet"/>
      <w:lvlText w:val="o"/>
      <w:lvlJc w:val="left"/>
      <w:pPr>
        <w:ind w:left="3150" w:hanging="360"/>
      </w:pPr>
      <w:rPr>
        <w:rFonts w:ascii="Courier New" w:hAnsi="Courier New" w:cs="Courier New" w:hint="default"/>
      </w:rPr>
    </w:lvl>
    <w:lvl w:ilvl="2" w:tplc="08090005" w:tentative="1">
      <w:start w:val="1"/>
      <w:numFmt w:val="bullet"/>
      <w:lvlText w:val=""/>
      <w:lvlJc w:val="left"/>
      <w:pPr>
        <w:ind w:left="3870" w:hanging="360"/>
      </w:pPr>
      <w:rPr>
        <w:rFonts w:ascii="Wingdings" w:hAnsi="Wingdings" w:hint="default"/>
      </w:rPr>
    </w:lvl>
    <w:lvl w:ilvl="3" w:tplc="08090001" w:tentative="1">
      <w:start w:val="1"/>
      <w:numFmt w:val="bullet"/>
      <w:lvlText w:val=""/>
      <w:lvlJc w:val="left"/>
      <w:pPr>
        <w:ind w:left="4590" w:hanging="360"/>
      </w:pPr>
      <w:rPr>
        <w:rFonts w:ascii="Symbol" w:hAnsi="Symbol" w:hint="default"/>
      </w:rPr>
    </w:lvl>
    <w:lvl w:ilvl="4" w:tplc="08090003" w:tentative="1">
      <w:start w:val="1"/>
      <w:numFmt w:val="bullet"/>
      <w:lvlText w:val="o"/>
      <w:lvlJc w:val="left"/>
      <w:pPr>
        <w:ind w:left="5310" w:hanging="360"/>
      </w:pPr>
      <w:rPr>
        <w:rFonts w:ascii="Courier New" w:hAnsi="Courier New" w:cs="Courier New" w:hint="default"/>
      </w:rPr>
    </w:lvl>
    <w:lvl w:ilvl="5" w:tplc="08090005" w:tentative="1">
      <w:start w:val="1"/>
      <w:numFmt w:val="bullet"/>
      <w:lvlText w:val=""/>
      <w:lvlJc w:val="left"/>
      <w:pPr>
        <w:ind w:left="6030" w:hanging="360"/>
      </w:pPr>
      <w:rPr>
        <w:rFonts w:ascii="Wingdings" w:hAnsi="Wingdings" w:hint="default"/>
      </w:rPr>
    </w:lvl>
    <w:lvl w:ilvl="6" w:tplc="08090001" w:tentative="1">
      <w:start w:val="1"/>
      <w:numFmt w:val="bullet"/>
      <w:lvlText w:val=""/>
      <w:lvlJc w:val="left"/>
      <w:pPr>
        <w:ind w:left="6750" w:hanging="360"/>
      </w:pPr>
      <w:rPr>
        <w:rFonts w:ascii="Symbol" w:hAnsi="Symbol" w:hint="default"/>
      </w:rPr>
    </w:lvl>
    <w:lvl w:ilvl="7" w:tplc="08090003" w:tentative="1">
      <w:start w:val="1"/>
      <w:numFmt w:val="bullet"/>
      <w:lvlText w:val="o"/>
      <w:lvlJc w:val="left"/>
      <w:pPr>
        <w:ind w:left="7470" w:hanging="360"/>
      </w:pPr>
      <w:rPr>
        <w:rFonts w:ascii="Courier New" w:hAnsi="Courier New" w:cs="Courier New" w:hint="default"/>
      </w:rPr>
    </w:lvl>
    <w:lvl w:ilvl="8" w:tplc="08090005" w:tentative="1">
      <w:start w:val="1"/>
      <w:numFmt w:val="bullet"/>
      <w:lvlText w:val=""/>
      <w:lvlJc w:val="left"/>
      <w:pPr>
        <w:ind w:left="8190" w:hanging="360"/>
      </w:pPr>
      <w:rPr>
        <w:rFonts w:ascii="Wingdings" w:hAnsi="Wingdings" w:hint="default"/>
      </w:rPr>
    </w:lvl>
  </w:abstractNum>
  <w:abstractNum w:abstractNumId="24" w15:restartNumberingAfterBreak="0">
    <w:nsid w:val="4FBA4CC9"/>
    <w:multiLevelType w:val="multilevel"/>
    <w:tmpl w:val="650E48E0"/>
    <w:lvl w:ilvl="0">
      <w:start w:val="1"/>
      <w:numFmt w:val="bullet"/>
      <w:lvlText w:val=""/>
      <w:lvlJc w:val="left"/>
      <w:pPr>
        <w:ind w:left="1495" w:hanging="360"/>
      </w:pPr>
      <w:rPr>
        <w:rFonts w:ascii="Symbol" w:hAnsi="Symbol" w:hint="default"/>
        <w:b w:val="0"/>
        <w:bCs w:val="0"/>
        <w:color w:val="000000"/>
        <w:sz w:val="24"/>
      </w:rPr>
    </w:lvl>
    <w:lvl w:ilvl="1">
      <w:start w:val="1"/>
      <w:numFmt w:val="bullet"/>
      <w:lvlText w:val=""/>
      <w:lvlJc w:val="left"/>
      <w:pPr>
        <w:ind w:left="1212" w:hanging="360"/>
      </w:pPr>
      <w:rPr>
        <w:rFonts w:ascii="Symbol" w:hAnsi="Symbol" w:hint="default"/>
        <w:color w:val="auto"/>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51FD26F0"/>
    <w:multiLevelType w:val="multilevel"/>
    <w:tmpl w:val="650E48E0"/>
    <w:lvl w:ilvl="0">
      <w:start w:val="1"/>
      <w:numFmt w:val="bullet"/>
      <w:lvlText w:val=""/>
      <w:lvlJc w:val="left"/>
      <w:pPr>
        <w:ind w:left="1495" w:hanging="360"/>
      </w:pPr>
      <w:rPr>
        <w:rFonts w:ascii="Symbol" w:hAnsi="Symbol" w:hint="default"/>
        <w:b w:val="0"/>
        <w:bCs w:val="0"/>
        <w:color w:val="000000"/>
        <w:sz w:val="24"/>
      </w:rPr>
    </w:lvl>
    <w:lvl w:ilvl="1">
      <w:start w:val="1"/>
      <w:numFmt w:val="bullet"/>
      <w:lvlText w:val=""/>
      <w:lvlJc w:val="left"/>
      <w:pPr>
        <w:ind w:left="1212" w:hanging="360"/>
      </w:pPr>
      <w:rPr>
        <w:rFonts w:ascii="Symbol" w:hAnsi="Symbol" w:hint="default"/>
        <w:color w:val="auto"/>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55462C15"/>
    <w:multiLevelType w:val="multilevel"/>
    <w:tmpl w:val="7D02256C"/>
    <w:lvl w:ilvl="0">
      <w:start w:val="1"/>
      <w:numFmt w:val="bullet"/>
      <w:lvlText w:val=""/>
      <w:lvlJc w:val="left"/>
      <w:pPr>
        <w:ind w:left="1495" w:hanging="360"/>
      </w:pPr>
      <w:rPr>
        <w:rFonts w:ascii="Symbol" w:hAnsi="Symbol" w:hint="default"/>
        <w:b w:val="0"/>
        <w:bCs w:val="0"/>
        <w:color w:val="000000"/>
        <w:sz w:val="24"/>
      </w:rPr>
    </w:lvl>
    <w:lvl w:ilvl="1">
      <w:start w:val="1"/>
      <w:numFmt w:val="bullet"/>
      <w:lvlText w:val=""/>
      <w:lvlJc w:val="left"/>
      <w:pPr>
        <w:ind w:left="1212" w:hanging="360"/>
      </w:pPr>
      <w:rPr>
        <w:rFonts w:ascii="Symbol" w:hAnsi="Symbol" w:hint="default"/>
        <w:color w:val="auto"/>
      </w:rPr>
    </w:lvl>
    <w:lvl w:ilvl="2">
      <w:start w:val="1"/>
      <w:numFmt w:val="bullet"/>
      <w:lvlText w:val="o"/>
      <w:lvlJc w:val="left"/>
      <w:pPr>
        <w:ind w:left="1980" w:hanging="360"/>
      </w:pPr>
      <w:rPr>
        <w:rFonts w:ascii="Courier New" w:hAnsi="Courier New" w:cs="Courier New"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5F2B4CCE"/>
    <w:multiLevelType w:val="multilevel"/>
    <w:tmpl w:val="7D02256C"/>
    <w:lvl w:ilvl="0">
      <w:start w:val="1"/>
      <w:numFmt w:val="bullet"/>
      <w:lvlText w:val=""/>
      <w:lvlJc w:val="left"/>
      <w:pPr>
        <w:ind w:left="1495" w:hanging="360"/>
      </w:pPr>
      <w:rPr>
        <w:rFonts w:ascii="Symbol" w:hAnsi="Symbol" w:hint="default"/>
        <w:b w:val="0"/>
        <w:bCs w:val="0"/>
        <w:color w:val="000000"/>
        <w:sz w:val="24"/>
      </w:rPr>
    </w:lvl>
    <w:lvl w:ilvl="1">
      <w:start w:val="1"/>
      <w:numFmt w:val="bullet"/>
      <w:lvlText w:val=""/>
      <w:lvlJc w:val="left"/>
      <w:pPr>
        <w:ind w:left="1212" w:hanging="360"/>
      </w:pPr>
      <w:rPr>
        <w:rFonts w:ascii="Symbol" w:hAnsi="Symbol" w:hint="default"/>
        <w:color w:val="auto"/>
      </w:rPr>
    </w:lvl>
    <w:lvl w:ilvl="2">
      <w:start w:val="1"/>
      <w:numFmt w:val="bullet"/>
      <w:lvlText w:val="o"/>
      <w:lvlJc w:val="left"/>
      <w:pPr>
        <w:ind w:left="1980" w:hanging="360"/>
      </w:pPr>
      <w:rPr>
        <w:rFonts w:ascii="Courier New" w:hAnsi="Courier New"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6288446C"/>
    <w:multiLevelType w:val="hybridMultilevel"/>
    <w:tmpl w:val="3C9E069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9" w15:restartNumberingAfterBreak="0">
    <w:nsid w:val="64DF7EB2"/>
    <w:multiLevelType w:val="hybridMultilevel"/>
    <w:tmpl w:val="AD2296C4"/>
    <w:lvl w:ilvl="0" w:tplc="126C3CA0">
      <w:numFmt w:val="bullet"/>
      <w:lvlText w:val="•"/>
      <w:lvlJc w:val="left"/>
      <w:pPr>
        <w:ind w:left="1254" w:hanging="444"/>
      </w:pPr>
      <w:rPr>
        <w:rFonts w:ascii="Arial" w:eastAsia="Times New Roman" w:hAnsi="Arial" w:cs="Arial" w:hint="default"/>
      </w:rPr>
    </w:lvl>
    <w:lvl w:ilvl="1" w:tplc="08090003">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30" w15:restartNumberingAfterBreak="0">
    <w:nsid w:val="664230D3"/>
    <w:multiLevelType w:val="hybridMultilevel"/>
    <w:tmpl w:val="91CE3042"/>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1" w15:restartNumberingAfterBreak="0">
    <w:nsid w:val="66A810A8"/>
    <w:multiLevelType w:val="multilevel"/>
    <w:tmpl w:val="FFFFFFFF"/>
    <w:lvl w:ilvl="0">
      <w:start w:val="1"/>
      <w:numFmt w:val="bullet"/>
      <w:lvlText w:val="o"/>
      <w:lvlJc w:val="left"/>
      <w:pPr>
        <w:ind w:left="198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9478B3"/>
    <w:multiLevelType w:val="multilevel"/>
    <w:tmpl w:val="650E48E0"/>
    <w:lvl w:ilvl="0">
      <w:start w:val="1"/>
      <w:numFmt w:val="bullet"/>
      <w:lvlText w:val=""/>
      <w:lvlJc w:val="left"/>
      <w:pPr>
        <w:ind w:left="1495" w:hanging="360"/>
      </w:pPr>
      <w:rPr>
        <w:rFonts w:ascii="Symbol" w:hAnsi="Symbol" w:hint="default"/>
        <w:b w:val="0"/>
        <w:bCs w:val="0"/>
        <w:color w:val="000000"/>
        <w:sz w:val="24"/>
      </w:rPr>
    </w:lvl>
    <w:lvl w:ilvl="1">
      <w:start w:val="1"/>
      <w:numFmt w:val="bullet"/>
      <w:lvlText w:val=""/>
      <w:lvlJc w:val="left"/>
      <w:pPr>
        <w:ind w:left="1212" w:hanging="360"/>
      </w:pPr>
      <w:rPr>
        <w:rFonts w:ascii="Symbol" w:hAnsi="Symbol" w:hint="default"/>
        <w:color w:val="auto"/>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6539BA"/>
    <w:multiLevelType w:val="hybridMultilevel"/>
    <w:tmpl w:val="C1CC39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4390749"/>
    <w:multiLevelType w:val="hybridMultilevel"/>
    <w:tmpl w:val="4CEAFCE0"/>
    <w:lvl w:ilvl="0" w:tplc="08090001">
      <w:start w:val="1"/>
      <w:numFmt w:val="bullet"/>
      <w:lvlText w:val=""/>
      <w:lvlJc w:val="left"/>
      <w:pPr>
        <w:ind w:left="1350" w:hanging="360"/>
      </w:pPr>
      <w:rPr>
        <w:rFonts w:ascii="Symbol" w:hAnsi="Symbol" w:hint="default"/>
      </w:rPr>
    </w:lvl>
    <w:lvl w:ilvl="1" w:tplc="126C3CA0">
      <w:numFmt w:val="bullet"/>
      <w:lvlText w:val="•"/>
      <w:lvlJc w:val="left"/>
      <w:pPr>
        <w:ind w:left="2154" w:hanging="444"/>
      </w:pPr>
      <w:rPr>
        <w:rFonts w:ascii="Arial" w:eastAsia="Times New Roman" w:hAnsi="Arial" w:cs="Arial" w:hint="default"/>
      </w:rPr>
    </w:lvl>
    <w:lvl w:ilvl="2" w:tplc="08090005">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6" w15:restartNumberingAfterBreak="0">
    <w:nsid w:val="798365C6"/>
    <w:multiLevelType w:val="multilevel"/>
    <w:tmpl w:val="650E48E0"/>
    <w:lvl w:ilvl="0">
      <w:start w:val="1"/>
      <w:numFmt w:val="bullet"/>
      <w:lvlText w:val=""/>
      <w:lvlJc w:val="left"/>
      <w:pPr>
        <w:ind w:left="1495" w:hanging="360"/>
      </w:pPr>
      <w:rPr>
        <w:rFonts w:ascii="Symbol" w:hAnsi="Symbol" w:hint="default"/>
        <w:b w:val="0"/>
        <w:bCs w:val="0"/>
        <w:color w:val="000000"/>
        <w:sz w:val="24"/>
      </w:rPr>
    </w:lvl>
    <w:lvl w:ilvl="1">
      <w:start w:val="1"/>
      <w:numFmt w:val="bullet"/>
      <w:lvlText w:val=""/>
      <w:lvlJc w:val="left"/>
      <w:pPr>
        <w:ind w:left="1212" w:hanging="360"/>
      </w:pPr>
      <w:rPr>
        <w:rFonts w:ascii="Symbol" w:hAnsi="Symbol" w:hint="default"/>
        <w:color w:val="auto"/>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142886469">
    <w:abstractNumId w:val="2"/>
  </w:num>
  <w:num w:numId="2" w16cid:durableId="917709451">
    <w:abstractNumId w:val="11"/>
  </w:num>
  <w:num w:numId="3" w16cid:durableId="615409859">
    <w:abstractNumId w:val="3"/>
  </w:num>
  <w:num w:numId="4" w16cid:durableId="1683630193">
    <w:abstractNumId w:val="33"/>
  </w:num>
  <w:num w:numId="5" w16cid:durableId="1751148826">
    <w:abstractNumId w:val="1"/>
  </w:num>
  <w:num w:numId="6" w16cid:durableId="141820083">
    <w:abstractNumId w:val="13"/>
  </w:num>
  <w:num w:numId="7" w16cid:durableId="522087173">
    <w:abstractNumId w:val="36"/>
  </w:num>
  <w:num w:numId="8" w16cid:durableId="1402295184">
    <w:abstractNumId w:val="35"/>
  </w:num>
  <w:num w:numId="9" w16cid:durableId="1343821263">
    <w:abstractNumId w:val="25"/>
  </w:num>
  <w:num w:numId="10" w16cid:durableId="589897011">
    <w:abstractNumId w:val="32"/>
  </w:num>
  <w:num w:numId="11" w16cid:durableId="416369190">
    <w:abstractNumId w:val="24"/>
  </w:num>
  <w:num w:numId="12" w16cid:durableId="691371800">
    <w:abstractNumId w:val="9"/>
  </w:num>
  <w:num w:numId="13" w16cid:durableId="1266958391">
    <w:abstractNumId w:val="22"/>
  </w:num>
  <w:num w:numId="14" w16cid:durableId="2109806954">
    <w:abstractNumId w:val="20"/>
  </w:num>
  <w:num w:numId="15" w16cid:durableId="2080052488">
    <w:abstractNumId w:val="11"/>
  </w:num>
  <w:num w:numId="16" w16cid:durableId="1336224627">
    <w:abstractNumId w:val="10"/>
  </w:num>
  <w:num w:numId="17" w16cid:durableId="1195463271">
    <w:abstractNumId w:val="11"/>
  </w:num>
  <w:num w:numId="18" w16cid:durableId="1037853384">
    <w:abstractNumId w:val="26"/>
  </w:num>
  <w:num w:numId="19" w16cid:durableId="659503183">
    <w:abstractNumId w:val="30"/>
  </w:num>
  <w:num w:numId="20" w16cid:durableId="292946361">
    <w:abstractNumId w:val="23"/>
  </w:num>
  <w:num w:numId="21" w16cid:durableId="784928298">
    <w:abstractNumId w:val="11"/>
  </w:num>
  <w:num w:numId="22" w16cid:durableId="419522281">
    <w:abstractNumId w:val="11"/>
  </w:num>
  <w:num w:numId="23" w16cid:durableId="1619876198">
    <w:abstractNumId w:val="11"/>
  </w:num>
  <w:num w:numId="24" w16cid:durableId="1593664481">
    <w:abstractNumId w:val="0"/>
  </w:num>
  <w:num w:numId="25" w16cid:durableId="2012249792">
    <w:abstractNumId w:val="29"/>
  </w:num>
  <w:num w:numId="26" w16cid:durableId="4880619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55501">
    <w:abstractNumId w:val="34"/>
  </w:num>
  <w:num w:numId="28" w16cid:durableId="3787440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2699953">
    <w:abstractNumId w:val="19"/>
  </w:num>
  <w:num w:numId="30" w16cid:durableId="2103646974">
    <w:abstractNumId w:val="18"/>
  </w:num>
  <w:num w:numId="31" w16cid:durableId="767116315">
    <w:abstractNumId w:val="15"/>
  </w:num>
  <w:num w:numId="32" w16cid:durableId="479228935">
    <w:abstractNumId w:val="6"/>
  </w:num>
  <w:num w:numId="33" w16cid:durableId="1983582675">
    <w:abstractNumId w:val="4"/>
  </w:num>
  <w:num w:numId="34" w16cid:durableId="1157109623">
    <w:abstractNumId w:val="12"/>
  </w:num>
  <w:num w:numId="35" w16cid:durableId="452789564">
    <w:abstractNumId w:val="14"/>
  </w:num>
  <w:num w:numId="36" w16cid:durableId="114565689">
    <w:abstractNumId w:val="21"/>
  </w:num>
  <w:num w:numId="37" w16cid:durableId="1232811065">
    <w:abstractNumId w:val="16"/>
  </w:num>
  <w:num w:numId="38" w16cid:durableId="1842235088">
    <w:abstractNumId w:val="11"/>
  </w:num>
  <w:num w:numId="39" w16cid:durableId="555702597">
    <w:abstractNumId w:val="11"/>
  </w:num>
  <w:num w:numId="40" w16cid:durableId="862135781">
    <w:abstractNumId w:val="11"/>
  </w:num>
  <w:num w:numId="41" w16cid:durableId="1300185667">
    <w:abstractNumId w:val="11"/>
  </w:num>
  <w:num w:numId="42" w16cid:durableId="1628242670">
    <w:abstractNumId w:val="11"/>
  </w:num>
  <w:num w:numId="43" w16cid:durableId="371000583">
    <w:abstractNumId w:val="7"/>
  </w:num>
  <w:num w:numId="44" w16cid:durableId="524485285">
    <w:abstractNumId w:val="8"/>
  </w:num>
  <w:num w:numId="45" w16cid:durableId="911354864">
    <w:abstractNumId w:val="28"/>
  </w:num>
  <w:num w:numId="46" w16cid:durableId="935672061">
    <w:abstractNumId w:val="5"/>
  </w:num>
  <w:num w:numId="47" w16cid:durableId="25374314">
    <w:abstractNumId w:val="31"/>
  </w:num>
  <w:num w:numId="48" w16cid:durableId="655688372">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92"/>
    <w:rsid w:val="0000066D"/>
    <w:rsid w:val="00000B65"/>
    <w:rsid w:val="00000FA4"/>
    <w:rsid w:val="00001544"/>
    <w:rsid w:val="0000315C"/>
    <w:rsid w:val="00003856"/>
    <w:rsid w:val="00003C9B"/>
    <w:rsid w:val="00005300"/>
    <w:rsid w:val="00007DE1"/>
    <w:rsid w:val="00007E2F"/>
    <w:rsid w:val="00010358"/>
    <w:rsid w:val="00010C09"/>
    <w:rsid w:val="00011721"/>
    <w:rsid w:val="000117D4"/>
    <w:rsid w:val="000119EC"/>
    <w:rsid w:val="00011B7A"/>
    <w:rsid w:val="0001289D"/>
    <w:rsid w:val="00013492"/>
    <w:rsid w:val="000141BD"/>
    <w:rsid w:val="000202CA"/>
    <w:rsid w:val="00021313"/>
    <w:rsid w:val="00021A50"/>
    <w:rsid w:val="00022D4B"/>
    <w:rsid w:val="00022E24"/>
    <w:rsid w:val="00026B7B"/>
    <w:rsid w:val="000272E0"/>
    <w:rsid w:val="000276B8"/>
    <w:rsid w:val="00027A19"/>
    <w:rsid w:val="00030C17"/>
    <w:rsid w:val="000314D7"/>
    <w:rsid w:val="0003319B"/>
    <w:rsid w:val="00033A0C"/>
    <w:rsid w:val="00034BB9"/>
    <w:rsid w:val="00034DFA"/>
    <w:rsid w:val="00035E6B"/>
    <w:rsid w:val="0003626A"/>
    <w:rsid w:val="00036EE8"/>
    <w:rsid w:val="00041BBB"/>
    <w:rsid w:val="00041D28"/>
    <w:rsid w:val="00044A94"/>
    <w:rsid w:val="00045CFD"/>
    <w:rsid w:val="00045F8B"/>
    <w:rsid w:val="00046505"/>
    <w:rsid w:val="00046AAE"/>
    <w:rsid w:val="00046D2B"/>
    <w:rsid w:val="00046D61"/>
    <w:rsid w:val="00047B56"/>
    <w:rsid w:val="000501D4"/>
    <w:rsid w:val="0005034E"/>
    <w:rsid w:val="00050BA8"/>
    <w:rsid w:val="00050DA8"/>
    <w:rsid w:val="00050DF9"/>
    <w:rsid w:val="000516D0"/>
    <w:rsid w:val="000530C4"/>
    <w:rsid w:val="00053295"/>
    <w:rsid w:val="0005334F"/>
    <w:rsid w:val="000539D4"/>
    <w:rsid w:val="00053D19"/>
    <w:rsid w:val="000542E2"/>
    <w:rsid w:val="0005443F"/>
    <w:rsid w:val="000553A0"/>
    <w:rsid w:val="0005594D"/>
    <w:rsid w:val="00056263"/>
    <w:rsid w:val="00056FA2"/>
    <w:rsid w:val="00057678"/>
    <w:rsid w:val="0006237D"/>
    <w:rsid w:val="0006290E"/>
    <w:rsid w:val="0006399D"/>
    <w:rsid w:val="00064D8A"/>
    <w:rsid w:val="00064F82"/>
    <w:rsid w:val="00065127"/>
    <w:rsid w:val="00065786"/>
    <w:rsid w:val="00066510"/>
    <w:rsid w:val="00067108"/>
    <w:rsid w:val="00067F6F"/>
    <w:rsid w:val="00070E1A"/>
    <w:rsid w:val="000719E1"/>
    <w:rsid w:val="0007246D"/>
    <w:rsid w:val="00073508"/>
    <w:rsid w:val="0007492F"/>
    <w:rsid w:val="000749E8"/>
    <w:rsid w:val="00074EAF"/>
    <w:rsid w:val="000753A8"/>
    <w:rsid w:val="00075907"/>
    <w:rsid w:val="00076C37"/>
    <w:rsid w:val="00077523"/>
    <w:rsid w:val="000776FF"/>
    <w:rsid w:val="0008046C"/>
    <w:rsid w:val="00082AD8"/>
    <w:rsid w:val="00082E42"/>
    <w:rsid w:val="00083E57"/>
    <w:rsid w:val="00085201"/>
    <w:rsid w:val="00085B72"/>
    <w:rsid w:val="000861C5"/>
    <w:rsid w:val="00087BC5"/>
    <w:rsid w:val="000912F8"/>
    <w:rsid w:val="000917F9"/>
    <w:rsid w:val="00092B20"/>
    <w:rsid w:val="00093353"/>
    <w:rsid w:val="00096070"/>
    <w:rsid w:val="000963D9"/>
    <w:rsid w:val="000A08B8"/>
    <w:rsid w:val="000A2FAD"/>
    <w:rsid w:val="000A38A2"/>
    <w:rsid w:val="000A444C"/>
    <w:rsid w:val="000A4612"/>
    <w:rsid w:val="000A4635"/>
    <w:rsid w:val="000A47AE"/>
    <w:rsid w:val="000A591D"/>
    <w:rsid w:val="000B4D8A"/>
    <w:rsid w:val="000B5153"/>
    <w:rsid w:val="000B6BD6"/>
    <w:rsid w:val="000B6C3C"/>
    <w:rsid w:val="000B76DA"/>
    <w:rsid w:val="000C089F"/>
    <w:rsid w:val="000C1243"/>
    <w:rsid w:val="000C1868"/>
    <w:rsid w:val="000C1A15"/>
    <w:rsid w:val="000C1D07"/>
    <w:rsid w:val="000C2A5B"/>
    <w:rsid w:val="000C3928"/>
    <w:rsid w:val="000C3D16"/>
    <w:rsid w:val="000C4C93"/>
    <w:rsid w:val="000C4CB9"/>
    <w:rsid w:val="000C5533"/>
    <w:rsid w:val="000C5E8E"/>
    <w:rsid w:val="000C5EDB"/>
    <w:rsid w:val="000C5F5D"/>
    <w:rsid w:val="000C6280"/>
    <w:rsid w:val="000D0185"/>
    <w:rsid w:val="000D05BA"/>
    <w:rsid w:val="000D080B"/>
    <w:rsid w:val="000D169E"/>
    <w:rsid w:val="000D26A3"/>
    <w:rsid w:val="000D2AD8"/>
    <w:rsid w:val="000D3262"/>
    <w:rsid w:val="000D3864"/>
    <w:rsid w:val="000D4262"/>
    <w:rsid w:val="000D5378"/>
    <w:rsid w:val="000D63FB"/>
    <w:rsid w:val="000D66EC"/>
    <w:rsid w:val="000E0057"/>
    <w:rsid w:val="000E012D"/>
    <w:rsid w:val="000E0325"/>
    <w:rsid w:val="000E16C0"/>
    <w:rsid w:val="000E19DE"/>
    <w:rsid w:val="000E2B71"/>
    <w:rsid w:val="000E3518"/>
    <w:rsid w:val="000E3B52"/>
    <w:rsid w:val="000E49D0"/>
    <w:rsid w:val="000E5221"/>
    <w:rsid w:val="000E58AD"/>
    <w:rsid w:val="000F0C4E"/>
    <w:rsid w:val="000F1081"/>
    <w:rsid w:val="000F2A7A"/>
    <w:rsid w:val="000F3D6E"/>
    <w:rsid w:val="000F44CC"/>
    <w:rsid w:val="000F4751"/>
    <w:rsid w:val="000F66E0"/>
    <w:rsid w:val="000F6891"/>
    <w:rsid w:val="001010AA"/>
    <w:rsid w:val="00101E6E"/>
    <w:rsid w:val="001029E3"/>
    <w:rsid w:val="00103859"/>
    <w:rsid w:val="00103889"/>
    <w:rsid w:val="0010431D"/>
    <w:rsid w:val="00104BAF"/>
    <w:rsid w:val="0010524C"/>
    <w:rsid w:val="001052C9"/>
    <w:rsid w:val="00107566"/>
    <w:rsid w:val="00107DB9"/>
    <w:rsid w:val="00107DFB"/>
    <w:rsid w:val="00110F60"/>
    <w:rsid w:val="00111DE7"/>
    <w:rsid w:val="00111FB1"/>
    <w:rsid w:val="001121C1"/>
    <w:rsid w:val="0011263A"/>
    <w:rsid w:val="00113418"/>
    <w:rsid w:val="0011408F"/>
    <w:rsid w:val="00114D5F"/>
    <w:rsid w:val="00117AEF"/>
    <w:rsid w:val="00117FD9"/>
    <w:rsid w:val="00121043"/>
    <w:rsid w:val="00122192"/>
    <w:rsid w:val="001230A8"/>
    <w:rsid w:val="00124521"/>
    <w:rsid w:val="00124D88"/>
    <w:rsid w:val="0012592C"/>
    <w:rsid w:val="0012667E"/>
    <w:rsid w:val="00126F0D"/>
    <w:rsid w:val="00126FAE"/>
    <w:rsid w:val="00127DFF"/>
    <w:rsid w:val="0012CF25"/>
    <w:rsid w:val="0013140F"/>
    <w:rsid w:val="0013220D"/>
    <w:rsid w:val="00132872"/>
    <w:rsid w:val="00132A6F"/>
    <w:rsid w:val="00132E27"/>
    <w:rsid w:val="00133900"/>
    <w:rsid w:val="00133FCB"/>
    <w:rsid w:val="0013447C"/>
    <w:rsid w:val="001356F1"/>
    <w:rsid w:val="00135C15"/>
    <w:rsid w:val="00136994"/>
    <w:rsid w:val="00136EB8"/>
    <w:rsid w:val="00136FB7"/>
    <w:rsid w:val="0014128E"/>
    <w:rsid w:val="00142A87"/>
    <w:rsid w:val="00142FBB"/>
    <w:rsid w:val="001431DD"/>
    <w:rsid w:val="001444AE"/>
    <w:rsid w:val="0014696D"/>
    <w:rsid w:val="00147D97"/>
    <w:rsid w:val="00147DA9"/>
    <w:rsid w:val="00151888"/>
    <w:rsid w:val="00151E78"/>
    <w:rsid w:val="00151EDF"/>
    <w:rsid w:val="001531B9"/>
    <w:rsid w:val="00153DA4"/>
    <w:rsid w:val="00153E64"/>
    <w:rsid w:val="00153ECE"/>
    <w:rsid w:val="00153F26"/>
    <w:rsid w:val="00154CC0"/>
    <w:rsid w:val="00155948"/>
    <w:rsid w:val="00155DC2"/>
    <w:rsid w:val="00156999"/>
    <w:rsid w:val="001576F7"/>
    <w:rsid w:val="00160143"/>
    <w:rsid w:val="00160770"/>
    <w:rsid w:val="00160AC5"/>
    <w:rsid w:val="0016105F"/>
    <w:rsid w:val="001623E0"/>
    <w:rsid w:val="0016290C"/>
    <w:rsid w:val="00162B63"/>
    <w:rsid w:val="00162C5E"/>
    <w:rsid w:val="001639AD"/>
    <w:rsid w:val="00165502"/>
    <w:rsid w:val="00166033"/>
    <w:rsid w:val="00166E6A"/>
    <w:rsid w:val="001675B7"/>
    <w:rsid w:val="0017015E"/>
    <w:rsid w:val="00170A2D"/>
    <w:rsid w:val="00171196"/>
    <w:rsid w:val="00172D17"/>
    <w:rsid w:val="00172EFA"/>
    <w:rsid w:val="00173D24"/>
    <w:rsid w:val="00175938"/>
    <w:rsid w:val="00175CC5"/>
    <w:rsid w:val="00177372"/>
    <w:rsid w:val="00177808"/>
    <w:rsid w:val="00177F27"/>
    <w:rsid w:val="00180520"/>
    <w:rsid w:val="001808BC"/>
    <w:rsid w:val="001820CB"/>
    <w:rsid w:val="001826BE"/>
    <w:rsid w:val="00182B81"/>
    <w:rsid w:val="0018474B"/>
    <w:rsid w:val="00184BA6"/>
    <w:rsid w:val="00184E8E"/>
    <w:rsid w:val="00185A05"/>
    <w:rsid w:val="0018619D"/>
    <w:rsid w:val="001861C9"/>
    <w:rsid w:val="0018749F"/>
    <w:rsid w:val="00190014"/>
    <w:rsid w:val="0019225C"/>
    <w:rsid w:val="0019251E"/>
    <w:rsid w:val="001944A2"/>
    <w:rsid w:val="00194620"/>
    <w:rsid w:val="0019563E"/>
    <w:rsid w:val="00195C1F"/>
    <w:rsid w:val="00195CA7"/>
    <w:rsid w:val="001962D3"/>
    <w:rsid w:val="001965CB"/>
    <w:rsid w:val="00197786"/>
    <w:rsid w:val="00197A24"/>
    <w:rsid w:val="00197C34"/>
    <w:rsid w:val="001A011E"/>
    <w:rsid w:val="001A0548"/>
    <w:rsid w:val="001A066A"/>
    <w:rsid w:val="001A0CD0"/>
    <w:rsid w:val="001A13E6"/>
    <w:rsid w:val="001A2F4E"/>
    <w:rsid w:val="001A3430"/>
    <w:rsid w:val="001A382D"/>
    <w:rsid w:val="001A4B55"/>
    <w:rsid w:val="001A5731"/>
    <w:rsid w:val="001A58F2"/>
    <w:rsid w:val="001A5D75"/>
    <w:rsid w:val="001A60BF"/>
    <w:rsid w:val="001A6A80"/>
    <w:rsid w:val="001A6B6B"/>
    <w:rsid w:val="001A6EE3"/>
    <w:rsid w:val="001A70AB"/>
    <w:rsid w:val="001A76FE"/>
    <w:rsid w:val="001A7892"/>
    <w:rsid w:val="001A7F2A"/>
    <w:rsid w:val="001A7F68"/>
    <w:rsid w:val="001B0AD1"/>
    <w:rsid w:val="001B2E71"/>
    <w:rsid w:val="001B34B4"/>
    <w:rsid w:val="001B36AE"/>
    <w:rsid w:val="001B42C3"/>
    <w:rsid w:val="001B453B"/>
    <w:rsid w:val="001B454E"/>
    <w:rsid w:val="001B4CD4"/>
    <w:rsid w:val="001B5939"/>
    <w:rsid w:val="001B5BB7"/>
    <w:rsid w:val="001B7E97"/>
    <w:rsid w:val="001C1532"/>
    <w:rsid w:val="001C21C2"/>
    <w:rsid w:val="001C2416"/>
    <w:rsid w:val="001C274C"/>
    <w:rsid w:val="001C2815"/>
    <w:rsid w:val="001C2B61"/>
    <w:rsid w:val="001C341F"/>
    <w:rsid w:val="001C391C"/>
    <w:rsid w:val="001C3F04"/>
    <w:rsid w:val="001C5B09"/>
    <w:rsid w:val="001C5D5E"/>
    <w:rsid w:val="001C651B"/>
    <w:rsid w:val="001C655B"/>
    <w:rsid w:val="001C6A69"/>
    <w:rsid w:val="001C770C"/>
    <w:rsid w:val="001C7982"/>
    <w:rsid w:val="001C7E44"/>
    <w:rsid w:val="001D1B96"/>
    <w:rsid w:val="001D22E9"/>
    <w:rsid w:val="001D3606"/>
    <w:rsid w:val="001D4D0D"/>
    <w:rsid w:val="001D678D"/>
    <w:rsid w:val="001D6B95"/>
    <w:rsid w:val="001D7683"/>
    <w:rsid w:val="001E03F8"/>
    <w:rsid w:val="001E0FBA"/>
    <w:rsid w:val="001E12C0"/>
    <w:rsid w:val="001E1678"/>
    <w:rsid w:val="001E177D"/>
    <w:rsid w:val="001E17F1"/>
    <w:rsid w:val="001E3228"/>
    <w:rsid w:val="001E3376"/>
    <w:rsid w:val="001E51E3"/>
    <w:rsid w:val="001E561E"/>
    <w:rsid w:val="001E7192"/>
    <w:rsid w:val="001F1DA6"/>
    <w:rsid w:val="001F2940"/>
    <w:rsid w:val="001F3375"/>
    <w:rsid w:val="001F3480"/>
    <w:rsid w:val="001F38B8"/>
    <w:rsid w:val="001F5282"/>
    <w:rsid w:val="001F65A7"/>
    <w:rsid w:val="00200489"/>
    <w:rsid w:val="002005E3"/>
    <w:rsid w:val="002018CC"/>
    <w:rsid w:val="00201E18"/>
    <w:rsid w:val="00202443"/>
    <w:rsid w:val="0020267A"/>
    <w:rsid w:val="0020271D"/>
    <w:rsid w:val="00203B41"/>
    <w:rsid w:val="00204936"/>
    <w:rsid w:val="0020535E"/>
    <w:rsid w:val="00205F1F"/>
    <w:rsid w:val="002069B3"/>
    <w:rsid w:val="00206B28"/>
    <w:rsid w:val="002076C8"/>
    <w:rsid w:val="00211440"/>
    <w:rsid w:val="002116EC"/>
    <w:rsid w:val="00211865"/>
    <w:rsid w:val="00213244"/>
    <w:rsid w:val="0021355D"/>
    <w:rsid w:val="00213A89"/>
    <w:rsid w:val="002151DC"/>
    <w:rsid w:val="002159FE"/>
    <w:rsid w:val="00215DC1"/>
    <w:rsid w:val="00216289"/>
    <w:rsid w:val="002162C0"/>
    <w:rsid w:val="00216D87"/>
    <w:rsid w:val="00221C73"/>
    <w:rsid w:val="00222A4F"/>
    <w:rsid w:val="00224C93"/>
    <w:rsid w:val="002256CA"/>
    <w:rsid w:val="00227321"/>
    <w:rsid w:val="002276E7"/>
    <w:rsid w:val="002310A0"/>
    <w:rsid w:val="002329CF"/>
    <w:rsid w:val="00232F5B"/>
    <w:rsid w:val="00233BD2"/>
    <w:rsid w:val="00234103"/>
    <w:rsid w:val="00234552"/>
    <w:rsid w:val="00234675"/>
    <w:rsid w:val="00234F02"/>
    <w:rsid w:val="002369C8"/>
    <w:rsid w:val="0023761C"/>
    <w:rsid w:val="00240FF5"/>
    <w:rsid w:val="002410A6"/>
    <w:rsid w:val="002414FA"/>
    <w:rsid w:val="00242504"/>
    <w:rsid w:val="00242762"/>
    <w:rsid w:val="00242DD2"/>
    <w:rsid w:val="00243C3B"/>
    <w:rsid w:val="00243E21"/>
    <w:rsid w:val="00244793"/>
    <w:rsid w:val="00244C87"/>
    <w:rsid w:val="00244FEC"/>
    <w:rsid w:val="0024599D"/>
    <w:rsid w:val="00247C29"/>
    <w:rsid w:val="00250311"/>
    <w:rsid w:val="002507F4"/>
    <w:rsid w:val="00251AD9"/>
    <w:rsid w:val="00251ED0"/>
    <w:rsid w:val="00252152"/>
    <w:rsid w:val="00252967"/>
    <w:rsid w:val="002529BB"/>
    <w:rsid w:val="00253E33"/>
    <w:rsid w:val="002559AF"/>
    <w:rsid w:val="00255EB4"/>
    <w:rsid w:val="00256350"/>
    <w:rsid w:val="00256E3F"/>
    <w:rsid w:val="00257263"/>
    <w:rsid w:val="002577CF"/>
    <w:rsid w:val="00257A6F"/>
    <w:rsid w:val="00260467"/>
    <w:rsid w:val="00260F94"/>
    <w:rsid w:val="002618E8"/>
    <w:rsid w:val="00261C3B"/>
    <w:rsid w:val="00261D35"/>
    <w:rsid w:val="00262299"/>
    <w:rsid w:val="00263478"/>
    <w:rsid w:val="00263EA3"/>
    <w:rsid w:val="00265216"/>
    <w:rsid w:val="00265217"/>
    <w:rsid w:val="00265A3A"/>
    <w:rsid w:val="00265BB1"/>
    <w:rsid w:val="00265DAC"/>
    <w:rsid w:val="002665C2"/>
    <w:rsid w:val="002667B8"/>
    <w:rsid w:val="002668C9"/>
    <w:rsid w:val="002669F0"/>
    <w:rsid w:val="002705D9"/>
    <w:rsid w:val="0028004E"/>
    <w:rsid w:val="00280A97"/>
    <w:rsid w:val="00280ACC"/>
    <w:rsid w:val="00280FB8"/>
    <w:rsid w:val="002812EC"/>
    <w:rsid w:val="00281592"/>
    <w:rsid w:val="00281FC5"/>
    <w:rsid w:val="0028230E"/>
    <w:rsid w:val="00282A53"/>
    <w:rsid w:val="00282E07"/>
    <w:rsid w:val="00282FF9"/>
    <w:rsid w:val="002834D5"/>
    <w:rsid w:val="00284BA8"/>
    <w:rsid w:val="00284DC4"/>
    <w:rsid w:val="00284F85"/>
    <w:rsid w:val="00285AB7"/>
    <w:rsid w:val="00285D6F"/>
    <w:rsid w:val="002873F1"/>
    <w:rsid w:val="00287B05"/>
    <w:rsid w:val="00287CB8"/>
    <w:rsid w:val="00287CE0"/>
    <w:rsid w:val="00287E78"/>
    <w:rsid w:val="00287FB6"/>
    <w:rsid w:val="00290915"/>
    <w:rsid w:val="00291CF3"/>
    <w:rsid w:val="002925C6"/>
    <w:rsid w:val="00292C57"/>
    <w:rsid w:val="00294DDB"/>
    <w:rsid w:val="00295515"/>
    <w:rsid w:val="00296AD0"/>
    <w:rsid w:val="00296D5B"/>
    <w:rsid w:val="00296DAF"/>
    <w:rsid w:val="00297834"/>
    <w:rsid w:val="002A0F8B"/>
    <w:rsid w:val="002A15AE"/>
    <w:rsid w:val="002A15EC"/>
    <w:rsid w:val="002A22E2"/>
    <w:rsid w:val="002A2441"/>
    <w:rsid w:val="002A37ED"/>
    <w:rsid w:val="002A52D8"/>
    <w:rsid w:val="002A611F"/>
    <w:rsid w:val="002A6922"/>
    <w:rsid w:val="002B0315"/>
    <w:rsid w:val="002B047B"/>
    <w:rsid w:val="002B0ECD"/>
    <w:rsid w:val="002B18CF"/>
    <w:rsid w:val="002B18DD"/>
    <w:rsid w:val="002B2C00"/>
    <w:rsid w:val="002B2C15"/>
    <w:rsid w:val="002B3298"/>
    <w:rsid w:val="002B33AE"/>
    <w:rsid w:val="002B3A96"/>
    <w:rsid w:val="002B44D3"/>
    <w:rsid w:val="002B4642"/>
    <w:rsid w:val="002B55A9"/>
    <w:rsid w:val="002B5A68"/>
    <w:rsid w:val="002B721E"/>
    <w:rsid w:val="002B74C9"/>
    <w:rsid w:val="002B7659"/>
    <w:rsid w:val="002C2240"/>
    <w:rsid w:val="002C2F6E"/>
    <w:rsid w:val="002C45FC"/>
    <w:rsid w:val="002C466A"/>
    <w:rsid w:val="002C48A6"/>
    <w:rsid w:val="002C544A"/>
    <w:rsid w:val="002C556E"/>
    <w:rsid w:val="002C64F7"/>
    <w:rsid w:val="002C65A7"/>
    <w:rsid w:val="002C6653"/>
    <w:rsid w:val="002C6A20"/>
    <w:rsid w:val="002D1679"/>
    <w:rsid w:val="002D2848"/>
    <w:rsid w:val="002D2AFE"/>
    <w:rsid w:val="002D2B39"/>
    <w:rsid w:val="002D37C3"/>
    <w:rsid w:val="002D45E1"/>
    <w:rsid w:val="002D4A0A"/>
    <w:rsid w:val="002D5764"/>
    <w:rsid w:val="002D59E1"/>
    <w:rsid w:val="002E033A"/>
    <w:rsid w:val="002E0A00"/>
    <w:rsid w:val="002E10CB"/>
    <w:rsid w:val="002E1323"/>
    <w:rsid w:val="002E22AE"/>
    <w:rsid w:val="002E2DF5"/>
    <w:rsid w:val="002E3728"/>
    <w:rsid w:val="002E4ABE"/>
    <w:rsid w:val="002E4F99"/>
    <w:rsid w:val="002E5065"/>
    <w:rsid w:val="002E5120"/>
    <w:rsid w:val="002E5C49"/>
    <w:rsid w:val="002E6433"/>
    <w:rsid w:val="002E6A0E"/>
    <w:rsid w:val="002E7AE3"/>
    <w:rsid w:val="002E7F9B"/>
    <w:rsid w:val="002F0451"/>
    <w:rsid w:val="002F05A7"/>
    <w:rsid w:val="002F41F2"/>
    <w:rsid w:val="002F5517"/>
    <w:rsid w:val="002F567B"/>
    <w:rsid w:val="002F6BB7"/>
    <w:rsid w:val="00301BF3"/>
    <w:rsid w:val="0030208D"/>
    <w:rsid w:val="003025E1"/>
    <w:rsid w:val="00303562"/>
    <w:rsid w:val="0030435D"/>
    <w:rsid w:val="00304AD6"/>
    <w:rsid w:val="003071F2"/>
    <w:rsid w:val="00307CFF"/>
    <w:rsid w:val="00307EE2"/>
    <w:rsid w:val="0031052F"/>
    <w:rsid w:val="00310837"/>
    <w:rsid w:val="0031185D"/>
    <w:rsid w:val="0031227C"/>
    <w:rsid w:val="003139C7"/>
    <w:rsid w:val="00313F90"/>
    <w:rsid w:val="00314274"/>
    <w:rsid w:val="00315B96"/>
    <w:rsid w:val="00316628"/>
    <w:rsid w:val="003200F9"/>
    <w:rsid w:val="003209BA"/>
    <w:rsid w:val="00322A0E"/>
    <w:rsid w:val="00323418"/>
    <w:rsid w:val="00323EB4"/>
    <w:rsid w:val="00324B36"/>
    <w:rsid w:val="00324D58"/>
    <w:rsid w:val="00325E71"/>
    <w:rsid w:val="00326774"/>
    <w:rsid w:val="00327479"/>
    <w:rsid w:val="0033039D"/>
    <w:rsid w:val="00330727"/>
    <w:rsid w:val="00330A1E"/>
    <w:rsid w:val="003311A1"/>
    <w:rsid w:val="003313F9"/>
    <w:rsid w:val="00332036"/>
    <w:rsid w:val="003321B6"/>
    <w:rsid w:val="00332B12"/>
    <w:rsid w:val="003332AC"/>
    <w:rsid w:val="003334FC"/>
    <w:rsid w:val="00333C91"/>
    <w:rsid w:val="0033440C"/>
    <w:rsid w:val="0033495D"/>
    <w:rsid w:val="003357BF"/>
    <w:rsid w:val="0033661B"/>
    <w:rsid w:val="0034169C"/>
    <w:rsid w:val="0034377C"/>
    <w:rsid w:val="003439CC"/>
    <w:rsid w:val="00343A18"/>
    <w:rsid w:val="00344DD1"/>
    <w:rsid w:val="00345372"/>
    <w:rsid w:val="003500FE"/>
    <w:rsid w:val="00353015"/>
    <w:rsid w:val="003569AB"/>
    <w:rsid w:val="003576B6"/>
    <w:rsid w:val="00360AA3"/>
    <w:rsid w:val="00360CE3"/>
    <w:rsid w:val="0036154D"/>
    <w:rsid w:val="00362D48"/>
    <w:rsid w:val="00364FAD"/>
    <w:rsid w:val="00366332"/>
    <w:rsid w:val="003665D8"/>
    <w:rsid w:val="0036738F"/>
    <w:rsid w:val="0036759C"/>
    <w:rsid w:val="003676BA"/>
    <w:rsid w:val="003676C3"/>
    <w:rsid w:val="00367AE5"/>
    <w:rsid w:val="00367D71"/>
    <w:rsid w:val="0037059B"/>
    <w:rsid w:val="003712D4"/>
    <w:rsid w:val="003717C7"/>
    <w:rsid w:val="0037202D"/>
    <w:rsid w:val="00372A8E"/>
    <w:rsid w:val="00372C2C"/>
    <w:rsid w:val="00374861"/>
    <w:rsid w:val="00374D4C"/>
    <w:rsid w:val="00376100"/>
    <w:rsid w:val="003763B6"/>
    <w:rsid w:val="00376EE5"/>
    <w:rsid w:val="00376F9F"/>
    <w:rsid w:val="00377CCB"/>
    <w:rsid w:val="0038150A"/>
    <w:rsid w:val="00381960"/>
    <w:rsid w:val="00381C65"/>
    <w:rsid w:val="003851F3"/>
    <w:rsid w:val="00385CD1"/>
    <w:rsid w:val="00386058"/>
    <w:rsid w:val="00386795"/>
    <w:rsid w:val="00390138"/>
    <w:rsid w:val="00390AD3"/>
    <w:rsid w:val="003940F3"/>
    <w:rsid w:val="00395144"/>
    <w:rsid w:val="00395475"/>
    <w:rsid w:val="00395B8E"/>
    <w:rsid w:val="00395F98"/>
    <w:rsid w:val="0039720B"/>
    <w:rsid w:val="003976F3"/>
    <w:rsid w:val="003A00AA"/>
    <w:rsid w:val="003A1AD0"/>
    <w:rsid w:val="003A1FE9"/>
    <w:rsid w:val="003A29E5"/>
    <w:rsid w:val="003A362C"/>
    <w:rsid w:val="003A3FE3"/>
    <w:rsid w:val="003A42F5"/>
    <w:rsid w:val="003A5436"/>
    <w:rsid w:val="003A54BA"/>
    <w:rsid w:val="003A55C4"/>
    <w:rsid w:val="003A5DA6"/>
    <w:rsid w:val="003A74EF"/>
    <w:rsid w:val="003B0A0D"/>
    <w:rsid w:val="003B22C7"/>
    <w:rsid w:val="003B4838"/>
    <w:rsid w:val="003B6E75"/>
    <w:rsid w:val="003B6E7E"/>
    <w:rsid w:val="003B7DA1"/>
    <w:rsid w:val="003C00F3"/>
    <w:rsid w:val="003C0757"/>
    <w:rsid w:val="003C12FE"/>
    <w:rsid w:val="003C161A"/>
    <w:rsid w:val="003C2028"/>
    <w:rsid w:val="003C3080"/>
    <w:rsid w:val="003C4353"/>
    <w:rsid w:val="003C4BFF"/>
    <w:rsid w:val="003C619C"/>
    <w:rsid w:val="003C62B5"/>
    <w:rsid w:val="003C6543"/>
    <w:rsid w:val="003C6E53"/>
    <w:rsid w:val="003C71B1"/>
    <w:rsid w:val="003C7DE4"/>
    <w:rsid w:val="003D0379"/>
    <w:rsid w:val="003D07DB"/>
    <w:rsid w:val="003D0BD3"/>
    <w:rsid w:val="003D1E26"/>
    <w:rsid w:val="003D2503"/>
    <w:rsid w:val="003D2574"/>
    <w:rsid w:val="003D360E"/>
    <w:rsid w:val="003D4C59"/>
    <w:rsid w:val="003D686A"/>
    <w:rsid w:val="003E0233"/>
    <w:rsid w:val="003E0DDB"/>
    <w:rsid w:val="003E1E33"/>
    <w:rsid w:val="003E32CA"/>
    <w:rsid w:val="003E446F"/>
    <w:rsid w:val="003E47AA"/>
    <w:rsid w:val="003E7272"/>
    <w:rsid w:val="003E7349"/>
    <w:rsid w:val="003E75E2"/>
    <w:rsid w:val="003F0991"/>
    <w:rsid w:val="003F0D15"/>
    <w:rsid w:val="003F3AEA"/>
    <w:rsid w:val="003F3B2B"/>
    <w:rsid w:val="003F4267"/>
    <w:rsid w:val="003F50F9"/>
    <w:rsid w:val="003F5196"/>
    <w:rsid w:val="003F6A2A"/>
    <w:rsid w:val="003F6F7C"/>
    <w:rsid w:val="003F7042"/>
    <w:rsid w:val="003F729A"/>
    <w:rsid w:val="00401619"/>
    <w:rsid w:val="00404032"/>
    <w:rsid w:val="004061A5"/>
    <w:rsid w:val="00406D7A"/>
    <w:rsid w:val="00406DD2"/>
    <w:rsid w:val="0040736F"/>
    <w:rsid w:val="00407BA5"/>
    <w:rsid w:val="00407F3C"/>
    <w:rsid w:val="00412C1F"/>
    <w:rsid w:val="00413512"/>
    <w:rsid w:val="0041397C"/>
    <w:rsid w:val="00414168"/>
    <w:rsid w:val="004152B0"/>
    <w:rsid w:val="00415FA3"/>
    <w:rsid w:val="00416279"/>
    <w:rsid w:val="00417F7E"/>
    <w:rsid w:val="00420257"/>
    <w:rsid w:val="00420868"/>
    <w:rsid w:val="004209B8"/>
    <w:rsid w:val="00421CB2"/>
    <w:rsid w:val="00423EAB"/>
    <w:rsid w:val="004261F7"/>
    <w:rsid w:val="004268B9"/>
    <w:rsid w:val="0042754C"/>
    <w:rsid w:val="0043163A"/>
    <w:rsid w:val="00432099"/>
    <w:rsid w:val="00432C4E"/>
    <w:rsid w:val="004332E4"/>
    <w:rsid w:val="00433A69"/>
    <w:rsid w:val="00433B96"/>
    <w:rsid w:val="00434790"/>
    <w:rsid w:val="00434DE0"/>
    <w:rsid w:val="0043602F"/>
    <w:rsid w:val="00436BE6"/>
    <w:rsid w:val="00436F8E"/>
    <w:rsid w:val="00437733"/>
    <w:rsid w:val="0044009B"/>
    <w:rsid w:val="004429EB"/>
    <w:rsid w:val="004440F1"/>
    <w:rsid w:val="0044415D"/>
    <w:rsid w:val="004455BC"/>
    <w:rsid w:val="004456DD"/>
    <w:rsid w:val="00446085"/>
    <w:rsid w:val="00446CDF"/>
    <w:rsid w:val="00446E08"/>
    <w:rsid w:val="004475B0"/>
    <w:rsid w:val="00447964"/>
    <w:rsid w:val="004521B7"/>
    <w:rsid w:val="00452548"/>
    <w:rsid w:val="0045296B"/>
    <w:rsid w:val="00452FEE"/>
    <w:rsid w:val="00455645"/>
    <w:rsid w:val="00455A06"/>
    <w:rsid w:val="00455A6A"/>
    <w:rsid w:val="00455D37"/>
    <w:rsid w:val="00455DE8"/>
    <w:rsid w:val="0045613A"/>
    <w:rsid w:val="00457CCE"/>
    <w:rsid w:val="00460B6A"/>
    <w:rsid w:val="00461524"/>
    <w:rsid w:val="00462AB5"/>
    <w:rsid w:val="00462FB0"/>
    <w:rsid w:val="00463CC8"/>
    <w:rsid w:val="0046414D"/>
    <w:rsid w:val="00464542"/>
    <w:rsid w:val="00464D05"/>
    <w:rsid w:val="00465007"/>
    <w:rsid w:val="00465DB6"/>
    <w:rsid w:val="00465EAF"/>
    <w:rsid w:val="00467EC7"/>
    <w:rsid w:val="00470625"/>
    <w:rsid w:val="00470A86"/>
    <w:rsid w:val="00471863"/>
    <w:rsid w:val="00471964"/>
    <w:rsid w:val="004722D2"/>
    <w:rsid w:val="0047351F"/>
    <w:rsid w:val="004738C5"/>
    <w:rsid w:val="00474016"/>
    <w:rsid w:val="00474C2A"/>
    <w:rsid w:val="0047503D"/>
    <w:rsid w:val="00475277"/>
    <w:rsid w:val="004754CB"/>
    <w:rsid w:val="00476627"/>
    <w:rsid w:val="00476CDE"/>
    <w:rsid w:val="0047757A"/>
    <w:rsid w:val="00477C55"/>
    <w:rsid w:val="004800CB"/>
    <w:rsid w:val="0048015E"/>
    <w:rsid w:val="004819FE"/>
    <w:rsid w:val="00481CC1"/>
    <w:rsid w:val="00483EC1"/>
    <w:rsid w:val="00484C3B"/>
    <w:rsid w:val="00485494"/>
    <w:rsid w:val="00490593"/>
    <w:rsid w:val="00490E60"/>
    <w:rsid w:val="00491046"/>
    <w:rsid w:val="00491307"/>
    <w:rsid w:val="004922F6"/>
    <w:rsid w:val="00492EFF"/>
    <w:rsid w:val="0049449D"/>
    <w:rsid w:val="004945B4"/>
    <w:rsid w:val="00494A91"/>
    <w:rsid w:val="00494ED3"/>
    <w:rsid w:val="0049698A"/>
    <w:rsid w:val="00497934"/>
    <w:rsid w:val="00497D06"/>
    <w:rsid w:val="004A1EB4"/>
    <w:rsid w:val="004A2AC7"/>
    <w:rsid w:val="004A3EAE"/>
    <w:rsid w:val="004A40EA"/>
    <w:rsid w:val="004A4413"/>
    <w:rsid w:val="004A5255"/>
    <w:rsid w:val="004A6D2F"/>
    <w:rsid w:val="004A7CFA"/>
    <w:rsid w:val="004B1993"/>
    <w:rsid w:val="004B4121"/>
    <w:rsid w:val="004B5708"/>
    <w:rsid w:val="004B59C0"/>
    <w:rsid w:val="004B5D95"/>
    <w:rsid w:val="004B644B"/>
    <w:rsid w:val="004B6807"/>
    <w:rsid w:val="004B6D7A"/>
    <w:rsid w:val="004C2191"/>
    <w:rsid w:val="004C2887"/>
    <w:rsid w:val="004C44FE"/>
    <w:rsid w:val="004C6024"/>
    <w:rsid w:val="004C6118"/>
    <w:rsid w:val="004C6918"/>
    <w:rsid w:val="004C6F01"/>
    <w:rsid w:val="004D0DBA"/>
    <w:rsid w:val="004D1B2B"/>
    <w:rsid w:val="004D2554"/>
    <w:rsid w:val="004D2626"/>
    <w:rsid w:val="004D30FD"/>
    <w:rsid w:val="004D3A93"/>
    <w:rsid w:val="004D483E"/>
    <w:rsid w:val="004D5561"/>
    <w:rsid w:val="004D597B"/>
    <w:rsid w:val="004D6E26"/>
    <w:rsid w:val="004D77D3"/>
    <w:rsid w:val="004E0434"/>
    <w:rsid w:val="004E0E5B"/>
    <w:rsid w:val="004E27A6"/>
    <w:rsid w:val="004E2959"/>
    <w:rsid w:val="004E78A2"/>
    <w:rsid w:val="004E7EEE"/>
    <w:rsid w:val="004F09E4"/>
    <w:rsid w:val="004F100E"/>
    <w:rsid w:val="004F1128"/>
    <w:rsid w:val="004F1986"/>
    <w:rsid w:val="004F1A21"/>
    <w:rsid w:val="004F1B2E"/>
    <w:rsid w:val="004F1C12"/>
    <w:rsid w:val="004F20EF"/>
    <w:rsid w:val="004F260A"/>
    <w:rsid w:val="004F27CA"/>
    <w:rsid w:val="004F2A47"/>
    <w:rsid w:val="004F3434"/>
    <w:rsid w:val="004F3CB9"/>
    <w:rsid w:val="004F4F69"/>
    <w:rsid w:val="004F5B76"/>
    <w:rsid w:val="004F652C"/>
    <w:rsid w:val="004F703E"/>
    <w:rsid w:val="004F7AF1"/>
    <w:rsid w:val="00500B74"/>
    <w:rsid w:val="00502B0D"/>
    <w:rsid w:val="0050321C"/>
    <w:rsid w:val="0050464F"/>
    <w:rsid w:val="005046E9"/>
    <w:rsid w:val="005048F3"/>
    <w:rsid w:val="00507E3B"/>
    <w:rsid w:val="00513A05"/>
    <w:rsid w:val="00515E8A"/>
    <w:rsid w:val="00516BBB"/>
    <w:rsid w:val="00517BF4"/>
    <w:rsid w:val="00520354"/>
    <w:rsid w:val="00522086"/>
    <w:rsid w:val="005223AA"/>
    <w:rsid w:val="00522A6A"/>
    <w:rsid w:val="00522F06"/>
    <w:rsid w:val="00522F6D"/>
    <w:rsid w:val="00523412"/>
    <w:rsid w:val="00523E35"/>
    <w:rsid w:val="00524CD7"/>
    <w:rsid w:val="0052595A"/>
    <w:rsid w:val="00526B78"/>
    <w:rsid w:val="0052741B"/>
    <w:rsid w:val="005300D5"/>
    <w:rsid w:val="0053039F"/>
    <w:rsid w:val="005305BD"/>
    <w:rsid w:val="0053084D"/>
    <w:rsid w:val="00530B8E"/>
    <w:rsid w:val="0053376D"/>
    <w:rsid w:val="00533CF5"/>
    <w:rsid w:val="0053470A"/>
    <w:rsid w:val="00534A13"/>
    <w:rsid w:val="00535DDD"/>
    <w:rsid w:val="005367B7"/>
    <w:rsid w:val="005369EA"/>
    <w:rsid w:val="00536A53"/>
    <w:rsid w:val="00537BD6"/>
    <w:rsid w:val="005407E0"/>
    <w:rsid w:val="00540823"/>
    <w:rsid w:val="005422B3"/>
    <w:rsid w:val="00542756"/>
    <w:rsid w:val="00542A3D"/>
    <w:rsid w:val="00543A7D"/>
    <w:rsid w:val="00543E0F"/>
    <w:rsid w:val="00545041"/>
    <w:rsid w:val="00545370"/>
    <w:rsid w:val="005459E8"/>
    <w:rsid w:val="0054712D"/>
    <w:rsid w:val="005476F1"/>
    <w:rsid w:val="00547742"/>
    <w:rsid w:val="00547EAB"/>
    <w:rsid w:val="00547EF6"/>
    <w:rsid w:val="005500B2"/>
    <w:rsid w:val="0055120B"/>
    <w:rsid w:val="0055313C"/>
    <w:rsid w:val="00553FBC"/>
    <w:rsid w:val="00554BDE"/>
    <w:rsid w:val="0055522B"/>
    <w:rsid w:val="005566C6"/>
    <w:rsid w:val="005570B5"/>
    <w:rsid w:val="005571E3"/>
    <w:rsid w:val="00557899"/>
    <w:rsid w:val="005603CD"/>
    <w:rsid w:val="0056233A"/>
    <w:rsid w:val="0056421A"/>
    <w:rsid w:val="005656BD"/>
    <w:rsid w:val="00566828"/>
    <w:rsid w:val="00567279"/>
    <w:rsid w:val="0056736E"/>
    <w:rsid w:val="00567E18"/>
    <w:rsid w:val="00570380"/>
    <w:rsid w:val="0057081B"/>
    <w:rsid w:val="005719CC"/>
    <w:rsid w:val="00571DBA"/>
    <w:rsid w:val="00572110"/>
    <w:rsid w:val="00572160"/>
    <w:rsid w:val="005727B7"/>
    <w:rsid w:val="005730EA"/>
    <w:rsid w:val="00575961"/>
    <w:rsid w:val="00575F5F"/>
    <w:rsid w:val="0058031A"/>
    <w:rsid w:val="005810C3"/>
    <w:rsid w:val="00581805"/>
    <w:rsid w:val="005818C8"/>
    <w:rsid w:val="0058330D"/>
    <w:rsid w:val="00584285"/>
    <w:rsid w:val="005851DA"/>
    <w:rsid w:val="00585E66"/>
    <w:rsid w:val="00585F76"/>
    <w:rsid w:val="0058626C"/>
    <w:rsid w:val="005865ED"/>
    <w:rsid w:val="00590BCE"/>
    <w:rsid w:val="00593F67"/>
    <w:rsid w:val="00597CFC"/>
    <w:rsid w:val="005A022D"/>
    <w:rsid w:val="005A0974"/>
    <w:rsid w:val="005A0DB2"/>
    <w:rsid w:val="005A142A"/>
    <w:rsid w:val="005A2915"/>
    <w:rsid w:val="005A34E4"/>
    <w:rsid w:val="005A3A05"/>
    <w:rsid w:val="005A47C8"/>
    <w:rsid w:val="005A4929"/>
    <w:rsid w:val="005A5705"/>
    <w:rsid w:val="005A5CA1"/>
    <w:rsid w:val="005A679D"/>
    <w:rsid w:val="005A6B52"/>
    <w:rsid w:val="005A7896"/>
    <w:rsid w:val="005B020D"/>
    <w:rsid w:val="005B17F2"/>
    <w:rsid w:val="005B264D"/>
    <w:rsid w:val="005B2F55"/>
    <w:rsid w:val="005B3AD8"/>
    <w:rsid w:val="005B5285"/>
    <w:rsid w:val="005B55EF"/>
    <w:rsid w:val="005B62E5"/>
    <w:rsid w:val="005B6AFA"/>
    <w:rsid w:val="005B7D62"/>
    <w:rsid w:val="005B7FB0"/>
    <w:rsid w:val="005C007E"/>
    <w:rsid w:val="005C048E"/>
    <w:rsid w:val="005C13B9"/>
    <w:rsid w:val="005C14B2"/>
    <w:rsid w:val="005C35A5"/>
    <w:rsid w:val="005C3FA3"/>
    <w:rsid w:val="005C577C"/>
    <w:rsid w:val="005C5E13"/>
    <w:rsid w:val="005C5E16"/>
    <w:rsid w:val="005C668C"/>
    <w:rsid w:val="005C69A8"/>
    <w:rsid w:val="005C7249"/>
    <w:rsid w:val="005D0621"/>
    <w:rsid w:val="005D145E"/>
    <w:rsid w:val="005D1E27"/>
    <w:rsid w:val="005D2069"/>
    <w:rsid w:val="005D2444"/>
    <w:rsid w:val="005D2A3E"/>
    <w:rsid w:val="005D4972"/>
    <w:rsid w:val="005D4BC9"/>
    <w:rsid w:val="005D5369"/>
    <w:rsid w:val="005D58A0"/>
    <w:rsid w:val="005D6590"/>
    <w:rsid w:val="005D6A4B"/>
    <w:rsid w:val="005D6E12"/>
    <w:rsid w:val="005D76D6"/>
    <w:rsid w:val="005D77D6"/>
    <w:rsid w:val="005E022E"/>
    <w:rsid w:val="005E0254"/>
    <w:rsid w:val="005E11ED"/>
    <w:rsid w:val="005E13BB"/>
    <w:rsid w:val="005E23B3"/>
    <w:rsid w:val="005E288E"/>
    <w:rsid w:val="005E48D5"/>
    <w:rsid w:val="005E5215"/>
    <w:rsid w:val="005E564F"/>
    <w:rsid w:val="005E582E"/>
    <w:rsid w:val="005E64CB"/>
    <w:rsid w:val="005E66E8"/>
    <w:rsid w:val="005F01A3"/>
    <w:rsid w:val="005F02D7"/>
    <w:rsid w:val="005F0425"/>
    <w:rsid w:val="005F0AB6"/>
    <w:rsid w:val="005F1F7E"/>
    <w:rsid w:val="005F3236"/>
    <w:rsid w:val="005F4CEB"/>
    <w:rsid w:val="005F6AB2"/>
    <w:rsid w:val="005F7F7E"/>
    <w:rsid w:val="00600E9D"/>
    <w:rsid w:val="00601A34"/>
    <w:rsid w:val="00602452"/>
    <w:rsid w:val="00602733"/>
    <w:rsid w:val="00603000"/>
    <w:rsid w:val="00603608"/>
    <w:rsid w:val="00603A2F"/>
    <w:rsid w:val="00603BBA"/>
    <w:rsid w:val="00604162"/>
    <w:rsid w:val="00604A65"/>
    <w:rsid w:val="00604B4C"/>
    <w:rsid w:val="006066BA"/>
    <w:rsid w:val="00606E5E"/>
    <w:rsid w:val="00607108"/>
    <w:rsid w:val="006073E6"/>
    <w:rsid w:val="006078FE"/>
    <w:rsid w:val="006124CA"/>
    <w:rsid w:val="006133D8"/>
    <w:rsid w:val="00614693"/>
    <w:rsid w:val="00614D6B"/>
    <w:rsid w:val="006151ED"/>
    <w:rsid w:val="00615FCE"/>
    <w:rsid w:val="00620951"/>
    <w:rsid w:val="00620EA0"/>
    <w:rsid w:val="00623C2F"/>
    <w:rsid w:val="006244E2"/>
    <w:rsid w:val="006252DB"/>
    <w:rsid w:val="00625A9D"/>
    <w:rsid w:val="00627083"/>
    <w:rsid w:val="0062796A"/>
    <w:rsid w:val="00630C9F"/>
    <w:rsid w:val="0063157A"/>
    <w:rsid w:val="00632588"/>
    <w:rsid w:val="00632E04"/>
    <w:rsid w:val="00633578"/>
    <w:rsid w:val="00634D35"/>
    <w:rsid w:val="00636769"/>
    <w:rsid w:val="00636A00"/>
    <w:rsid w:val="00637068"/>
    <w:rsid w:val="00637A6A"/>
    <w:rsid w:val="0064030C"/>
    <w:rsid w:val="00640B28"/>
    <w:rsid w:val="006413BF"/>
    <w:rsid w:val="006429AA"/>
    <w:rsid w:val="00642B10"/>
    <w:rsid w:val="00642EFF"/>
    <w:rsid w:val="00643ECB"/>
    <w:rsid w:val="006450DE"/>
    <w:rsid w:val="0064625F"/>
    <w:rsid w:val="00647781"/>
    <w:rsid w:val="006479E8"/>
    <w:rsid w:val="00647EB2"/>
    <w:rsid w:val="00650642"/>
    <w:rsid w:val="00650811"/>
    <w:rsid w:val="00652FF9"/>
    <w:rsid w:val="006546AD"/>
    <w:rsid w:val="00654C64"/>
    <w:rsid w:val="00656980"/>
    <w:rsid w:val="00657207"/>
    <w:rsid w:val="0065764E"/>
    <w:rsid w:val="0066075A"/>
    <w:rsid w:val="00661D3E"/>
    <w:rsid w:val="006633F1"/>
    <w:rsid w:val="006634D8"/>
    <w:rsid w:val="0066395F"/>
    <w:rsid w:val="00664004"/>
    <w:rsid w:val="00664441"/>
    <w:rsid w:val="00664FF8"/>
    <w:rsid w:val="00666094"/>
    <w:rsid w:val="00670A36"/>
    <w:rsid w:val="0067298D"/>
    <w:rsid w:val="00672B90"/>
    <w:rsid w:val="00672F70"/>
    <w:rsid w:val="00674828"/>
    <w:rsid w:val="006753C8"/>
    <w:rsid w:val="00675812"/>
    <w:rsid w:val="00675DB3"/>
    <w:rsid w:val="00680FE1"/>
    <w:rsid w:val="00681AB7"/>
    <w:rsid w:val="00681BEE"/>
    <w:rsid w:val="00684438"/>
    <w:rsid w:val="00686C24"/>
    <w:rsid w:val="006875D6"/>
    <w:rsid w:val="00690479"/>
    <w:rsid w:val="00691BFA"/>
    <w:rsid w:val="0069208B"/>
    <w:rsid w:val="00692627"/>
    <w:rsid w:val="006927FE"/>
    <w:rsid w:val="0069325F"/>
    <w:rsid w:val="0069333C"/>
    <w:rsid w:val="006945AD"/>
    <w:rsid w:val="0069478E"/>
    <w:rsid w:val="00694A16"/>
    <w:rsid w:val="00694E9E"/>
    <w:rsid w:val="006955A9"/>
    <w:rsid w:val="0069664A"/>
    <w:rsid w:val="006969E7"/>
    <w:rsid w:val="00696EF5"/>
    <w:rsid w:val="0069773D"/>
    <w:rsid w:val="006977C1"/>
    <w:rsid w:val="00697F53"/>
    <w:rsid w:val="006A03DC"/>
    <w:rsid w:val="006A0AC6"/>
    <w:rsid w:val="006A24EB"/>
    <w:rsid w:val="006A25CE"/>
    <w:rsid w:val="006A2ADB"/>
    <w:rsid w:val="006A3643"/>
    <w:rsid w:val="006A3DC9"/>
    <w:rsid w:val="006A4DDC"/>
    <w:rsid w:val="006A517A"/>
    <w:rsid w:val="006A6164"/>
    <w:rsid w:val="006A6BF4"/>
    <w:rsid w:val="006A6E17"/>
    <w:rsid w:val="006A7279"/>
    <w:rsid w:val="006B06A0"/>
    <w:rsid w:val="006B222F"/>
    <w:rsid w:val="006B26D8"/>
    <w:rsid w:val="006B2809"/>
    <w:rsid w:val="006B2F2E"/>
    <w:rsid w:val="006B401C"/>
    <w:rsid w:val="006B6506"/>
    <w:rsid w:val="006B7532"/>
    <w:rsid w:val="006B75B9"/>
    <w:rsid w:val="006B77BE"/>
    <w:rsid w:val="006B79D4"/>
    <w:rsid w:val="006B7C26"/>
    <w:rsid w:val="006B7F04"/>
    <w:rsid w:val="006C0662"/>
    <w:rsid w:val="006C0A76"/>
    <w:rsid w:val="006C1250"/>
    <w:rsid w:val="006C2A29"/>
    <w:rsid w:val="006C32F5"/>
    <w:rsid w:val="006C3DDD"/>
    <w:rsid w:val="006C3F53"/>
    <w:rsid w:val="006C483B"/>
    <w:rsid w:val="006C560C"/>
    <w:rsid w:val="006C577F"/>
    <w:rsid w:val="006C64CF"/>
    <w:rsid w:val="006C6AFD"/>
    <w:rsid w:val="006C6D53"/>
    <w:rsid w:val="006C745D"/>
    <w:rsid w:val="006C78E9"/>
    <w:rsid w:val="006D17B1"/>
    <w:rsid w:val="006D1B3D"/>
    <w:rsid w:val="006D1FD7"/>
    <w:rsid w:val="006D287F"/>
    <w:rsid w:val="006D4147"/>
    <w:rsid w:val="006D4339"/>
    <w:rsid w:val="006D4752"/>
    <w:rsid w:val="006D583C"/>
    <w:rsid w:val="006D66A3"/>
    <w:rsid w:val="006D708A"/>
    <w:rsid w:val="006D79CD"/>
    <w:rsid w:val="006D7C72"/>
    <w:rsid w:val="006E14C1"/>
    <w:rsid w:val="006E1ADB"/>
    <w:rsid w:val="006E1C9E"/>
    <w:rsid w:val="006E3684"/>
    <w:rsid w:val="006E406E"/>
    <w:rsid w:val="006E435E"/>
    <w:rsid w:val="006E4B8F"/>
    <w:rsid w:val="006E61D6"/>
    <w:rsid w:val="006F0292"/>
    <w:rsid w:val="006F0DB0"/>
    <w:rsid w:val="006F1780"/>
    <w:rsid w:val="006F1ADD"/>
    <w:rsid w:val="006F2418"/>
    <w:rsid w:val="006F2709"/>
    <w:rsid w:val="006F27FA"/>
    <w:rsid w:val="006F2D22"/>
    <w:rsid w:val="006F34E7"/>
    <w:rsid w:val="006F3AF6"/>
    <w:rsid w:val="006F416B"/>
    <w:rsid w:val="006F4D93"/>
    <w:rsid w:val="006F4FD5"/>
    <w:rsid w:val="006F519B"/>
    <w:rsid w:val="006F7CC4"/>
    <w:rsid w:val="006F7FA7"/>
    <w:rsid w:val="007001FC"/>
    <w:rsid w:val="007009BD"/>
    <w:rsid w:val="00702AF1"/>
    <w:rsid w:val="007039C5"/>
    <w:rsid w:val="007042AA"/>
    <w:rsid w:val="0070527A"/>
    <w:rsid w:val="0070529F"/>
    <w:rsid w:val="0070575B"/>
    <w:rsid w:val="007064EA"/>
    <w:rsid w:val="00712C94"/>
    <w:rsid w:val="00713675"/>
    <w:rsid w:val="007136A3"/>
    <w:rsid w:val="00715823"/>
    <w:rsid w:val="00721976"/>
    <w:rsid w:val="00721D02"/>
    <w:rsid w:val="0072242B"/>
    <w:rsid w:val="00722A59"/>
    <w:rsid w:val="00722B7D"/>
    <w:rsid w:val="0072380E"/>
    <w:rsid w:val="00724058"/>
    <w:rsid w:val="007266C5"/>
    <w:rsid w:val="0073065E"/>
    <w:rsid w:val="00731644"/>
    <w:rsid w:val="0073229D"/>
    <w:rsid w:val="00732BDF"/>
    <w:rsid w:val="007333C3"/>
    <w:rsid w:val="00733407"/>
    <w:rsid w:val="007338F5"/>
    <w:rsid w:val="00734425"/>
    <w:rsid w:val="0073531E"/>
    <w:rsid w:val="00736614"/>
    <w:rsid w:val="00736955"/>
    <w:rsid w:val="00737B93"/>
    <w:rsid w:val="00740B3F"/>
    <w:rsid w:val="00740E03"/>
    <w:rsid w:val="007415CA"/>
    <w:rsid w:val="00742DAA"/>
    <w:rsid w:val="00742FAF"/>
    <w:rsid w:val="00744A70"/>
    <w:rsid w:val="0074535F"/>
    <w:rsid w:val="00745BF0"/>
    <w:rsid w:val="0074685F"/>
    <w:rsid w:val="007472C6"/>
    <w:rsid w:val="00751A68"/>
    <w:rsid w:val="00751FD3"/>
    <w:rsid w:val="00752132"/>
    <w:rsid w:val="00752960"/>
    <w:rsid w:val="00752ADC"/>
    <w:rsid w:val="0075305F"/>
    <w:rsid w:val="00754B80"/>
    <w:rsid w:val="0075664A"/>
    <w:rsid w:val="0075707F"/>
    <w:rsid w:val="00757B18"/>
    <w:rsid w:val="0076002E"/>
    <w:rsid w:val="007604CE"/>
    <w:rsid w:val="007611F8"/>
    <w:rsid w:val="007613A8"/>
    <w:rsid w:val="007615FE"/>
    <w:rsid w:val="0076287E"/>
    <w:rsid w:val="00762B40"/>
    <w:rsid w:val="0076348D"/>
    <w:rsid w:val="007638C3"/>
    <w:rsid w:val="00763B22"/>
    <w:rsid w:val="007648D6"/>
    <w:rsid w:val="0076655C"/>
    <w:rsid w:val="00770551"/>
    <w:rsid w:val="007714C1"/>
    <w:rsid w:val="007717BA"/>
    <w:rsid w:val="00772CB7"/>
    <w:rsid w:val="00772E35"/>
    <w:rsid w:val="00773000"/>
    <w:rsid w:val="007742DC"/>
    <w:rsid w:val="00774AC0"/>
    <w:rsid w:val="00775283"/>
    <w:rsid w:val="007758A4"/>
    <w:rsid w:val="007766F3"/>
    <w:rsid w:val="00780B91"/>
    <w:rsid w:val="00780CF7"/>
    <w:rsid w:val="00781CE1"/>
    <w:rsid w:val="007839B9"/>
    <w:rsid w:val="00784884"/>
    <w:rsid w:val="00785023"/>
    <w:rsid w:val="00785148"/>
    <w:rsid w:val="00786272"/>
    <w:rsid w:val="007864DC"/>
    <w:rsid w:val="00786A60"/>
    <w:rsid w:val="007907D7"/>
    <w:rsid w:val="00791437"/>
    <w:rsid w:val="00791AB8"/>
    <w:rsid w:val="0079321F"/>
    <w:rsid w:val="00793837"/>
    <w:rsid w:val="00796CEC"/>
    <w:rsid w:val="00797AC9"/>
    <w:rsid w:val="007A01AA"/>
    <w:rsid w:val="007A0A97"/>
    <w:rsid w:val="007A3813"/>
    <w:rsid w:val="007A38CD"/>
    <w:rsid w:val="007A51AE"/>
    <w:rsid w:val="007A5620"/>
    <w:rsid w:val="007A638E"/>
    <w:rsid w:val="007A64CE"/>
    <w:rsid w:val="007B0C2C"/>
    <w:rsid w:val="007B12FE"/>
    <w:rsid w:val="007B23BD"/>
    <w:rsid w:val="007B278E"/>
    <w:rsid w:val="007B2B0E"/>
    <w:rsid w:val="007B3359"/>
    <w:rsid w:val="007B43FB"/>
    <w:rsid w:val="007B4795"/>
    <w:rsid w:val="007C023C"/>
    <w:rsid w:val="007C282E"/>
    <w:rsid w:val="007C2BCB"/>
    <w:rsid w:val="007C2C89"/>
    <w:rsid w:val="007C3B5B"/>
    <w:rsid w:val="007C3CF1"/>
    <w:rsid w:val="007C42D2"/>
    <w:rsid w:val="007C56A7"/>
    <w:rsid w:val="007C5C23"/>
    <w:rsid w:val="007C6F8A"/>
    <w:rsid w:val="007C7B8A"/>
    <w:rsid w:val="007C7E02"/>
    <w:rsid w:val="007D0C41"/>
    <w:rsid w:val="007D0E21"/>
    <w:rsid w:val="007D1829"/>
    <w:rsid w:val="007D27B8"/>
    <w:rsid w:val="007D4D6B"/>
    <w:rsid w:val="007D5ED8"/>
    <w:rsid w:val="007D6923"/>
    <w:rsid w:val="007D6B84"/>
    <w:rsid w:val="007D75A8"/>
    <w:rsid w:val="007D7714"/>
    <w:rsid w:val="007E0F4C"/>
    <w:rsid w:val="007E13DD"/>
    <w:rsid w:val="007E16CE"/>
    <w:rsid w:val="007E205B"/>
    <w:rsid w:val="007E28E1"/>
    <w:rsid w:val="007E2A26"/>
    <w:rsid w:val="007E2A54"/>
    <w:rsid w:val="007E3D31"/>
    <w:rsid w:val="007E48D6"/>
    <w:rsid w:val="007E64F0"/>
    <w:rsid w:val="007E75B1"/>
    <w:rsid w:val="007F0269"/>
    <w:rsid w:val="007F0615"/>
    <w:rsid w:val="007F0928"/>
    <w:rsid w:val="007F0A26"/>
    <w:rsid w:val="007F1C7F"/>
    <w:rsid w:val="007F2348"/>
    <w:rsid w:val="007F4E29"/>
    <w:rsid w:val="007F5F65"/>
    <w:rsid w:val="007F618A"/>
    <w:rsid w:val="007F6499"/>
    <w:rsid w:val="008015E8"/>
    <w:rsid w:val="0080190A"/>
    <w:rsid w:val="00801D11"/>
    <w:rsid w:val="00802422"/>
    <w:rsid w:val="00803F07"/>
    <w:rsid w:val="00803F1A"/>
    <w:rsid w:val="008050A5"/>
    <w:rsid w:val="00805ABB"/>
    <w:rsid w:val="008062C7"/>
    <w:rsid w:val="00806B00"/>
    <w:rsid w:val="0080749A"/>
    <w:rsid w:val="008074F3"/>
    <w:rsid w:val="008077F8"/>
    <w:rsid w:val="0081149E"/>
    <w:rsid w:val="008135B1"/>
    <w:rsid w:val="00813A7D"/>
    <w:rsid w:val="008143FE"/>
    <w:rsid w:val="00814BCA"/>
    <w:rsid w:val="00815233"/>
    <w:rsid w:val="0081591F"/>
    <w:rsid w:val="00817482"/>
    <w:rsid w:val="00817721"/>
    <w:rsid w:val="00817D67"/>
    <w:rsid w:val="00820D78"/>
    <w:rsid w:val="00821FB8"/>
    <w:rsid w:val="00822ACD"/>
    <w:rsid w:val="00823BE9"/>
    <w:rsid w:val="008256E0"/>
    <w:rsid w:val="008265FD"/>
    <w:rsid w:val="00826CE8"/>
    <w:rsid w:val="00827C04"/>
    <w:rsid w:val="00827DE6"/>
    <w:rsid w:val="008300EB"/>
    <w:rsid w:val="0083132A"/>
    <w:rsid w:val="008324EA"/>
    <w:rsid w:val="00832F91"/>
    <w:rsid w:val="008336DF"/>
    <w:rsid w:val="00834726"/>
    <w:rsid w:val="00834AED"/>
    <w:rsid w:val="00835B56"/>
    <w:rsid w:val="00835EAB"/>
    <w:rsid w:val="00836886"/>
    <w:rsid w:val="00836AE5"/>
    <w:rsid w:val="00837854"/>
    <w:rsid w:val="0084029B"/>
    <w:rsid w:val="0084080A"/>
    <w:rsid w:val="00840885"/>
    <w:rsid w:val="00841650"/>
    <w:rsid w:val="00841FE1"/>
    <w:rsid w:val="00843591"/>
    <w:rsid w:val="00844A3C"/>
    <w:rsid w:val="00844B26"/>
    <w:rsid w:val="00844BD5"/>
    <w:rsid w:val="00846018"/>
    <w:rsid w:val="008506C4"/>
    <w:rsid w:val="00851CD5"/>
    <w:rsid w:val="00852FE1"/>
    <w:rsid w:val="008530EB"/>
    <w:rsid w:val="0085352C"/>
    <w:rsid w:val="00855C66"/>
    <w:rsid w:val="00857134"/>
    <w:rsid w:val="008575E2"/>
    <w:rsid w:val="00857F02"/>
    <w:rsid w:val="00861CB6"/>
    <w:rsid w:val="0086218C"/>
    <w:rsid w:val="008628BD"/>
    <w:rsid w:val="0086293E"/>
    <w:rsid w:val="00863602"/>
    <w:rsid w:val="00863C9A"/>
    <w:rsid w:val="00864FAA"/>
    <w:rsid w:val="00866DBA"/>
    <w:rsid w:val="00867800"/>
    <w:rsid w:val="00871859"/>
    <w:rsid w:val="00871C32"/>
    <w:rsid w:val="00871EE4"/>
    <w:rsid w:val="00872059"/>
    <w:rsid w:val="008729AC"/>
    <w:rsid w:val="00872B70"/>
    <w:rsid w:val="0087609E"/>
    <w:rsid w:val="00876831"/>
    <w:rsid w:val="00880DDD"/>
    <w:rsid w:val="00881BF2"/>
    <w:rsid w:val="008826C4"/>
    <w:rsid w:val="008837D8"/>
    <w:rsid w:val="00883BA7"/>
    <w:rsid w:val="00884F7C"/>
    <w:rsid w:val="00885482"/>
    <w:rsid w:val="008863BD"/>
    <w:rsid w:val="00886820"/>
    <w:rsid w:val="00886CF6"/>
    <w:rsid w:val="00886F33"/>
    <w:rsid w:val="0089212D"/>
    <w:rsid w:val="008928E5"/>
    <w:rsid w:val="00894D29"/>
    <w:rsid w:val="008958B8"/>
    <w:rsid w:val="00896726"/>
    <w:rsid w:val="008969D9"/>
    <w:rsid w:val="00896DE7"/>
    <w:rsid w:val="00897C3E"/>
    <w:rsid w:val="008A1308"/>
    <w:rsid w:val="008A15BE"/>
    <w:rsid w:val="008A1641"/>
    <w:rsid w:val="008A1CC5"/>
    <w:rsid w:val="008A3F12"/>
    <w:rsid w:val="008A4D6B"/>
    <w:rsid w:val="008A5EBE"/>
    <w:rsid w:val="008A63A1"/>
    <w:rsid w:val="008A7ACE"/>
    <w:rsid w:val="008A7B67"/>
    <w:rsid w:val="008B0D2B"/>
    <w:rsid w:val="008B19D0"/>
    <w:rsid w:val="008B224D"/>
    <w:rsid w:val="008B293F"/>
    <w:rsid w:val="008B305E"/>
    <w:rsid w:val="008B3FF6"/>
    <w:rsid w:val="008B61D3"/>
    <w:rsid w:val="008B64AB"/>
    <w:rsid w:val="008B6745"/>
    <w:rsid w:val="008B7371"/>
    <w:rsid w:val="008B769E"/>
    <w:rsid w:val="008B7C44"/>
    <w:rsid w:val="008C053E"/>
    <w:rsid w:val="008C0A73"/>
    <w:rsid w:val="008C2114"/>
    <w:rsid w:val="008C3301"/>
    <w:rsid w:val="008C382F"/>
    <w:rsid w:val="008C3CB3"/>
    <w:rsid w:val="008C5100"/>
    <w:rsid w:val="008D0B22"/>
    <w:rsid w:val="008D2256"/>
    <w:rsid w:val="008D3180"/>
    <w:rsid w:val="008D3C11"/>
    <w:rsid w:val="008D3DDB"/>
    <w:rsid w:val="008D3FE6"/>
    <w:rsid w:val="008D40B9"/>
    <w:rsid w:val="008D5B32"/>
    <w:rsid w:val="008D65A5"/>
    <w:rsid w:val="008D7BF9"/>
    <w:rsid w:val="008E04AF"/>
    <w:rsid w:val="008E0C96"/>
    <w:rsid w:val="008E25A9"/>
    <w:rsid w:val="008E31C9"/>
    <w:rsid w:val="008E63DE"/>
    <w:rsid w:val="008E7C74"/>
    <w:rsid w:val="008F0446"/>
    <w:rsid w:val="008F04EE"/>
    <w:rsid w:val="008F094F"/>
    <w:rsid w:val="008F09F3"/>
    <w:rsid w:val="008F0ADE"/>
    <w:rsid w:val="008F14BF"/>
    <w:rsid w:val="008F1AD0"/>
    <w:rsid w:val="008F2FDD"/>
    <w:rsid w:val="008F47FB"/>
    <w:rsid w:val="008F5168"/>
    <w:rsid w:val="008F5712"/>
    <w:rsid w:val="008F573F"/>
    <w:rsid w:val="008F6E30"/>
    <w:rsid w:val="008F71C9"/>
    <w:rsid w:val="008F7357"/>
    <w:rsid w:val="00900E48"/>
    <w:rsid w:val="009010A6"/>
    <w:rsid w:val="009014F9"/>
    <w:rsid w:val="00901B31"/>
    <w:rsid w:val="009023B2"/>
    <w:rsid w:val="009025E2"/>
    <w:rsid w:val="00902D09"/>
    <w:rsid w:val="009033D3"/>
    <w:rsid w:val="009034EC"/>
    <w:rsid w:val="0090421C"/>
    <w:rsid w:val="0090427E"/>
    <w:rsid w:val="00904460"/>
    <w:rsid w:val="00905148"/>
    <w:rsid w:val="009054C8"/>
    <w:rsid w:val="009056E5"/>
    <w:rsid w:val="00906C6C"/>
    <w:rsid w:val="0091057F"/>
    <w:rsid w:val="00911085"/>
    <w:rsid w:val="00911258"/>
    <w:rsid w:val="00912A21"/>
    <w:rsid w:val="00913543"/>
    <w:rsid w:val="00913723"/>
    <w:rsid w:val="00913CF1"/>
    <w:rsid w:val="00914E32"/>
    <w:rsid w:val="009168D9"/>
    <w:rsid w:val="00916C63"/>
    <w:rsid w:val="00916DEC"/>
    <w:rsid w:val="00917ABD"/>
    <w:rsid w:val="009208BD"/>
    <w:rsid w:val="00920A26"/>
    <w:rsid w:val="009210B1"/>
    <w:rsid w:val="009215AB"/>
    <w:rsid w:val="00921926"/>
    <w:rsid w:val="00921C1C"/>
    <w:rsid w:val="00923390"/>
    <w:rsid w:val="00924310"/>
    <w:rsid w:val="0092617C"/>
    <w:rsid w:val="00926250"/>
    <w:rsid w:val="00927B21"/>
    <w:rsid w:val="00927F20"/>
    <w:rsid w:val="009300E8"/>
    <w:rsid w:val="0093016B"/>
    <w:rsid w:val="0093067A"/>
    <w:rsid w:val="009306BD"/>
    <w:rsid w:val="00930C84"/>
    <w:rsid w:val="00931D0D"/>
    <w:rsid w:val="00932C45"/>
    <w:rsid w:val="00934C3F"/>
    <w:rsid w:val="00934D30"/>
    <w:rsid w:val="00934E6B"/>
    <w:rsid w:val="009367F2"/>
    <w:rsid w:val="0093682D"/>
    <w:rsid w:val="009370F6"/>
    <w:rsid w:val="009372F1"/>
    <w:rsid w:val="00941C60"/>
    <w:rsid w:val="0094296A"/>
    <w:rsid w:val="00942D19"/>
    <w:rsid w:val="0094406C"/>
    <w:rsid w:val="00944F46"/>
    <w:rsid w:val="009459D9"/>
    <w:rsid w:val="009461E7"/>
    <w:rsid w:val="00946452"/>
    <w:rsid w:val="009464E4"/>
    <w:rsid w:val="009477B5"/>
    <w:rsid w:val="00950257"/>
    <w:rsid w:val="00951390"/>
    <w:rsid w:val="00952FBA"/>
    <w:rsid w:val="009559D8"/>
    <w:rsid w:val="00956274"/>
    <w:rsid w:val="00956A47"/>
    <w:rsid w:val="00957365"/>
    <w:rsid w:val="009603A2"/>
    <w:rsid w:val="00960799"/>
    <w:rsid w:val="00960D9B"/>
    <w:rsid w:val="009629D8"/>
    <w:rsid w:val="00963AF6"/>
    <w:rsid w:val="00964041"/>
    <w:rsid w:val="00964187"/>
    <w:rsid w:val="0096438F"/>
    <w:rsid w:val="00966D42"/>
    <w:rsid w:val="009676E6"/>
    <w:rsid w:val="00970A75"/>
    <w:rsid w:val="009715B3"/>
    <w:rsid w:val="00971689"/>
    <w:rsid w:val="00971F45"/>
    <w:rsid w:val="00973363"/>
    <w:rsid w:val="00973E90"/>
    <w:rsid w:val="0097428E"/>
    <w:rsid w:val="0097444F"/>
    <w:rsid w:val="00974852"/>
    <w:rsid w:val="00974C72"/>
    <w:rsid w:val="00975B07"/>
    <w:rsid w:val="00976828"/>
    <w:rsid w:val="00976BCD"/>
    <w:rsid w:val="00977766"/>
    <w:rsid w:val="00980150"/>
    <w:rsid w:val="00980B4A"/>
    <w:rsid w:val="009821E2"/>
    <w:rsid w:val="00982FE7"/>
    <w:rsid w:val="009840A0"/>
    <w:rsid w:val="00986838"/>
    <w:rsid w:val="00986C7F"/>
    <w:rsid w:val="00992BCC"/>
    <w:rsid w:val="00993DF6"/>
    <w:rsid w:val="009955BD"/>
    <w:rsid w:val="00996640"/>
    <w:rsid w:val="0099724D"/>
    <w:rsid w:val="00997855"/>
    <w:rsid w:val="009A00D0"/>
    <w:rsid w:val="009A1444"/>
    <w:rsid w:val="009A32CA"/>
    <w:rsid w:val="009A3407"/>
    <w:rsid w:val="009A34AD"/>
    <w:rsid w:val="009A3C01"/>
    <w:rsid w:val="009A3CC3"/>
    <w:rsid w:val="009A477F"/>
    <w:rsid w:val="009A68D9"/>
    <w:rsid w:val="009A70D3"/>
    <w:rsid w:val="009A764E"/>
    <w:rsid w:val="009A7F0A"/>
    <w:rsid w:val="009AD73A"/>
    <w:rsid w:val="009B0200"/>
    <w:rsid w:val="009B0344"/>
    <w:rsid w:val="009B11F3"/>
    <w:rsid w:val="009B19BD"/>
    <w:rsid w:val="009B381B"/>
    <w:rsid w:val="009B4BFF"/>
    <w:rsid w:val="009B5214"/>
    <w:rsid w:val="009B53AC"/>
    <w:rsid w:val="009B54F6"/>
    <w:rsid w:val="009B5B75"/>
    <w:rsid w:val="009B6D80"/>
    <w:rsid w:val="009B708C"/>
    <w:rsid w:val="009B76C1"/>
    <w:rsid w:val="009B78A1"/>
    <w:rsid w:val="009B7BF6"/>
    <w:rsid w:val="009C0CE9"/>
    <w:rsid w:val="009C177B"/>
    <w:rsid w:val="009C2C96"/>
    <w:rsid w:val="009C4947"/>
    <w:rsid w:val="009C59A8"/>
    <w:rsid w:val="009C59F4"/>
    <w:rsid w:val="009C5D8B"/>
    <w:rsid w:val="009C7082"/>
    <w:rsid w:val="009D0A36"/>
    <w:rsid w:val="009D32A0"/>
    <w:rsid w:val="009D7424"/>
    <w:rsid w:val="009E0AA3"/>
    <w:rsid w:val="009E1B80"/>
    <w:rsid w:val="009E2394"/>
    <w:rsid w:val="009E29FD"/>
    <w:rsid w:val="009E3C12"/>
    <w:rsid w:val="009E3D0A"/>
    <w:rsid w:val="009E4858"/>
    <w:rsid w:val="009E51FC"/>
    <w:rsid w:val="009E763E"/>
    <w:rsid w:val="009E7DDF"/>
    <w:rsid w:val="009F02E5"/>
    <w:rsid w:val="009F176B"/>
    <w:rsid w:val="009F1D28"/>
    <w:rsid w:val="009F2D33"/>
    <w:rsid w:val="009F3585"/>
    <w:rsid w:val="009F3674"/>
    <w:rsid w:val="009F39BF"/>
    <w:rsid w:val="009F3F09"/>
    <w:rsid w:val="009F4103"/>
    <w:rsid w:val="009F605E"/>
    <w:rsid w:val="009F622C"/>
    <w:rsid w:val="009F6EEC"/>
    <w:rsid w:val="009F74A1"/>
    <w:rsid w:val="009F7618"/>
    <w:rsid w:val="00A00D44"/>
    <w:rsid w:val="00A0396D"/>
    <w:rsid w:val="00A04782"/>
    <w:rsid w:val="00A04CDB"/>
    <w:rsid w:val="00A04D23"/>
    <w:rsid w:val="00A06743"/>
    <w:rsid w:val="00A06766"/>
    <w:rsid w:val="00A06C0A"/>
    <w:rsid w:val="00A07CA5"/>
    <w:rsid w:val="00A100B5"/>
    <w:rsid w:val="00A11423"/>
    <w:rsid w:val="00A11896"/>
    <w:rsid w:val="00A12649"/>
    <w:rsid w:val="00A12651"/>
    <w:rsid w:val="00A12FC7"/>
    <w:rsid w:val="00A13765"/>
    <w:rsid w:val="00A158FF"/>
    <w:rsid w:val="00A16329"/>
    <w:rsid w:val="00A16378"/>
    <w:rsid w:val="00A17168"/>
    <w:rsid w:val="00A173DA"/>
    <w:rsid w:val="00A17470"/>
    <w:rsid w:val="00A2107F"/>
    <w:rsid w:val="00A21278"/>
    <w:rsid w:val="00A21B12"/>
    <w:rsid w:val="00A22708"/>
    <w:rsid w:val="00A23CB8"/>
    <w:rsid w:val="00A23F80"/>
    <w:rsid w:val="00A2739C"/>
    <w:rsid w:val="00A319D7"/>
    <w:rsid w:val="00A31C7F"/>
    <w:rsid w:val="00A3285A"/>
    <w:rsid w:val="00A35CAE"/>
    <w:rsid w:val="00A35FDB"/>
    <w:rsid w:val="00A36624"/>
    <w:rsid w:val="00A3669C"/>
    <w:rsid w:val="00A36BBB"/>
    <w:rsid w:val="00A36DE2"/>
    <w:rsid w:val="00A401B2"/>
    <w:rsid w:val="00A40EFD"/>
    <w:rsid w:val="00A413FC"/>
    <w:rsid w:val="00A4165B"/>
    <w:rsid w:val="00A41E50"/>
    <w:rsid w:val="00A4314B"/>
    <w:rsid w:val="00A46404"/>
    <w:rsid w:val="00A46CDF"/>
    <w:rsid w:val="00A46CED"/>
    <w:rsid w:val="00A46E98"/>
    <w:rsid w:val="00A46FE0"/>
    <w:rsid w:val="00A5023A"/>
    <w:rsid w:val="00A50727"/>
    <w:rsid w:val="00A50EE8"/>
    <w:rsid w:val="00A51AFF"/>
    <w:rsid w:val="00A51D23"/>
    <w:rsid w:val="00A523F4"/>
    <w:rsid w:val="00A54385"/>
    <w:rsid w:val="00A62F6D"/>
    <w:rsid w:val="00A6352B"/>
    <w:rsid w:val="00A649F9"/>
    <w:rsid w:val="00A65A22"/>
    <w:rsid w:val="00A666B3"/>
    <w:rsid w:val="00A67465"/>
    <w:rsid w:val="00A67AD1"/>
    <w:rsid w:val="00A67BC1"/>
    <w:rsid w:val="00A701B5"/>
    <w:rsid w:val="00A70EFC"/>
    <w:rsid w:val="00A714BB"/>
    <w:rsid w:val="00A71F72"/>
    <w:rsid w:val="00A728FE"/>
    <w:rsid w:val="00A73F16"/>
    <w:rsid w:val="00A7477D"/>
    <w:rsid w:val="00A7478E"/>
    <w:rsid w:val="00A748F6"/>
    <w:rsid w:val="00A764BE"/>
    <w:rsid w:val="00A76EF6"/>
    <w:rsid w:val="00A774A7"/>
    <w:rsid w:val="00A774B4"/>
    <w:rsid w:val="00A77659"/>
    <w:rsid w:val="00A80308"/>
    <w:rsid w:val="00A80B23"/>
    <w:rsid w:val="00A81280"/>
    <w:rsid w:val="00A824EB"/>
    <w:rsid w:val="00A826A2"/>
    <w:rsid w:val="00A82AF9"/>
    <w:rsid w:val="00A8542D"/>
    <w:rsid w:val="00A859C0"/>
    <w:rsid w:val="00A85B0E"/>
    <w:rsid w:val="00A874E3"/>
    <w:rsid w:val="00A90B00"/>
    <w:rsid w:val="00A91B9B"/>
    <w:rsid w:val="00A9244B"/>
    <w:rsid w:val="00A926CD"/>
    <w:rsid w:val="00A92D8F"/>
    <w:rsid w:val="00A93165"/>
    <w:rsid w:val="00A93767"/>
    <w:rsid w:val="00A94C30"/>
    <w:rsid w:val="00A960F1"/>
    <w:rsid w:val="00AA0426"/>
    <w:rsid w:val="00AA1967"/>
    <w:rsid w:val="00AA3702"/>
    <w:rsid w:val="00AA3FEF"/>
    <w:rsid w:val="00AA40D9"/>
    <w:rsid w:val="00AA5C3C"/>
    <w:rsid w:val="00AA5D03"/>
    <w:rsid w:val="00AA6A97"/>
    <w:rsid w:val="00AA6DE1"/>
    <w:rsid w:val="00AA7EA6"/>
    <w:rsid w:val="00AB00FB"/>
    <w:rsid w:val="00AB0E9B"/>
    <w:rsid w:val="00AB24EA"/>
    <w:rsid w:val="00AB2988"/>
    <w:rsid w:val="00AB447D"/>
    <w:rsid w:val="00AB62F0"/>
    <w:rsid w:val="00AB6A97"/>
    <w:rsid w:val="00AB6B54"/>
    <w:rsid w:val="00AB7999"/>
    <w:rsid w:val="00AC02D0"/>
    <w:rsid w:val="00AC1715"/>
    <w:rsid w:val="00AC1B8F"/>
    <w:rsid w:val="00AC3073"/>
    <w:rsid w:val="00AC3160"/>
    <w:rsid w:val="00AC4174"/>
    <w:rsid w:val="00AC4AEB"/>
    <w:rsid w:val="00AC524F"/>
    <w:rsid w:val="00AC64A2"/>
    <w:rsid w:val="00AC659B"/>
    <w:rsid w:val="00AD186F"/>
    <w:rsid w:val="00AD204C"/>
    <w:rsid w:val="00AD3240"/>
    <w:rsid w:val="00AD3292"/>
    <w:rsid w:val="00AD3649"/>
    <w:rsid w:val="00AD4288"/>
    <w:rsid w:val="00AD51BB"/>
    <w:rsid w:val="00AD68C0"/>
    <w:rsid w:val="00AD73AE"/>
    <w:rsid w:val="00AD74C1"/>
    <w:rsid w:val="00AD7C78"/>
    <w:rsid w:val="00AE0FC6"/>
    <w:rsid w:val="00AE303E"/>
    <w:rsid w:val="00AE5103"/>
    <w:rsid w:val="00AE6ECD"/>
    <w:rsid w:val="00AE7AF0"/>
    <w:rsid w:val="00AE7BB8"/>
    <w:rsid w:val="00AF0342"/>
    <w:rsid w:val="00AF0804"/>
    <w:rsid w:val="00AF300F"/>
    <w:rsid w:val="00AF33AA"/>
    <w:rsid w:val="00AF3650"/>
    <w:rsid w:val="00AF386F"/>
    <w:rsid w:val="00AF614F"/>
    <w:rsid w:val="00AF7460"/>
    <w:rsid w:val="00AF7702"/>
    <w:rsid w:val="00AF7D7F"/>
    <w:rsid w:val="00AF7E6D"/>
    <w:rsid w:val="00AF7F5D"/>
    <w:rsid w:val="00B01C45"/>
    <w:rsid w:val="00B01DB7"/>
    <w:rsid w:val="00B01E78"/>
    <w:rsid w:val="00B0238A"/>
    <w:rsid w:val="00B02477"/>
    <w:rsid w:val="00B02A94"/>
    <w:rsid w:val="00B02C0B"/>
    <w:rsid w:val="00B049DB"/>
    <w:rsid w:val="00B05B37"/>
    <w:rsid w:val="00B071A0"/>
    <w:rsid w:val="00B10104"/>
    <w:rsid w:val="00B10131"/>
    <w:rsid w:val="00B11B9B"/>
    <w:rsid w:val="00B123AC"/>
    <w:rsid w:val="00B12C65"/>
    <w:rsid w:val="00B12DC2"/>
    <w:rsid w:val="00B12EBD"/>
    <w:rsid w:val="00B14E76"/>
    <w:rsid w:val="00B153AB"/>
    <w:rsid w:val="00B17804"/>
    <w:rsid w:val="00B17D4B"/>
    <w:rsid w:val="00B2061D"/>
    <w:rsid w:val="00B22FEE"/>
    <w:rsid w:val="00B32485"/>
    <w:rsid w:val="00B32808"/>
    <w:rsid w:val="00B32995"/>
    <w:rsid w:val="00B353DC"/>
    <w:rsid w:val="00B356DD"/>
    <w:rsid w:val="00B36454"/>
    <w:rsid w:val="00B37A6D"/>
    <w:rsid w:val="00B37BB6"/>
    <w:rsid w:val="00B40416"/>
    <w:rsid w:val="00B40AB5"/>
    <w:rsid w:val="00B417C8"/>
    <w:rsid w:val="00B41BFF"/>
    <w:rsid w:val="00B41F0A"/>
    <w:rsid w:val="00B422D2"/>
    <w:rsid w:val="00B43003"/>
    <w:rsid w:val="00B436A9"/>
    <w:rsid w:val="00B43A09"/>
    <w:rsid w:val="00B440F2"/>
    <w:rsid w:val="00B44E1B"/>
    <w:rsid w:val="00B45680"/>
    <w:rsid w:val="00B46930"/>
    <w:rsid w:val="00B470CA"/>
    <w:rsid w:val="00B475FF"/>
    <w:rsid w:val="00B47B2D"/>
    <w:rsid w:val="00B500CA"/>
    <w:rsid w:val="00B52196"/>
    <w:rsid w:val="00B5252B"/>
    <w:rsid w:val="00B537C2"/>
    <w:rsid w:val="00B53FB6"/>
    <w:rsid w:val="00B5453F"/>
    <w:rsid w:val="00B55AA7"/>
    <w:rsid w:val="00B60AE2"/>
    <w:rsid w:val="00B60C39"/>
    <w:rsid w:val="00B611A1"/>
    <w:rsid w:val="00B61346"/>
    <w:rsid w:val="00B61C6A"/>
    <w:rsid w:val="00B641D9"/>
    <w:rsid w:val="00B6503D"/>
    <w:rsid w:val="00B668EE"/>
    <w:rsid w:val="00B66BE1"/>
    <w:rsid w:val="00B67ECE"/>
    <w:rsid w:val="00B71057"/>
    <w:rsid w:val="00B71CA0"/>
    <w:rsid w:val="00B72ACD"/>
    <w:rsid w:val="00B734E5"/>
    <w:rsid w:val="00B7385B"/>
    <w:rsid w:val="00B74923"/>
    <w:rsid w:val="00B7590C"/>
    <w:rsid w:val="00B76175"/>
    <w:rsid w:val="00B77A3B"/>
    <w:rsid w:val="00B8084E"/>
    <w:rsid w:val="00B8090F"/>
    <w:rsid w:val="00B80C36"/>
    <w:rsid w:val="00B834BD"/>
    <w:rsid w:val="00B83F15"/>
    <w:rsid w:val="00B846C6"/>
    <w:rsid w:val="00B84D7D"/>
    <w:rsid w:val="00B859F5"/>
    <w:rsid w:val="00B85B99"/>
    <w:rsid w:val="00B86314"/>
    <w:rsid w:val="00B87030"/>
    <w:rsid w:val="00B87077"/>
    <w:rsid w:val="00B87386"/>
    <w:rsid w:val="00B87535"/>
    <w:rsid w:val="00B906CA"/>
    <w:rsid w:val="00B92077"/>
    <w:rsid w:val="00B9233C"/>
    <w:rsid w:val="00B92AA5"/>
    <w:rsid w:val="00B93514"/>
    <w:rsid w:val="00B936A4"/>
    <w:rsid w:val="00B937D2"/>
    <w:rsid w:val="00B93876"/>
    <w:rsid w:val="00B94D18"/>
    <w:rsid w:val="00B954BE"/>
    <w:rsid w:val="00B95627"/>
    <w:rsid w:val="00B968EC"/>
    <w:rsid w:val="00B96D44"/>
    <w:rsid w:val="00BA09C7"/>
    <w:rsid w:val="00BA1C2E"/>
    <w:rsid w:val="00BA65AD"/>
    <w:rsid w:val="00BA6A54"/>
    <w:rsid w:val="00BA718D"/>
    <w:rsid w:val="00BA740F"/>
    <w:rsid w:val="00BB0DCE"/>
    <w:rsid w:val="00BB12F0"/>
    <w:rsid w:val="00BB1A48"/>
    <w:rsid w:val="00BB1B1E"/>
    <w:rsid w:val="00BB2452"/>
    <w:rsid w:val="00BB318F"/>
    <w:rsid w:val="00BB39F9"/>
    <w:rsid w:val="00BB3BC1"/>
    <w:rsid w:val="00BB420C"/>
    <w:rsid w:val="00BB6A43"/>
    <w:rsid w:val="00BB74FC"/>
    <w:rsid w:val="00BC02F9"/>
    <w:rsid w:val="00BC04CF"/>
    <w:rsid w:val="00BC0D44"/>
    <w:rsid w:val="00BC1557"/>
    <w:rsid w:val="00BC1A47"/>
    <w:rsid w:val="00BC1CBA"/>
    <w:rsid w:val="00BC1CE1"/>
    <w:rsid w:val="00BC1F43"/>
    <w:rsid w:val="00BC200B"/>
    <w:rsid w:val="00BC254C"/>
    <w:rsid w:val="00BC3CC7"/>
    <w:rsid w:val="00BC4756"/>
    <w:rsid w:val="00BC47BE"/>
    <w:rsid w:val="00BC4B78"/>
    <w:rsid w:val="00BC4C9D"/>
    <w:rsid w:val="00BC54ED"/>
    <w:rsid w:val="00BC5EEE"/>
    <w:rsid w:val="00BC60E7"/>
    <w:rsid w:val="00BC69A4"/>
    <w:rsid w:val="00BC73EE"/>
    <w:rsid w:val="00BC7571"/>
    <w:rsid w:val="00BD1166"/>
    <w:rsid w:val="00BD17B6"/>
    <w:rsid w:val="00BD3B6D"/>
    <w:rsid w:val="00BD5867"/>
    <w:rsid w:val="00BD6B10"/>
    <w:rsid w:val="00BD74F7"/>
    <w:rsid w:val="00BE0680"/>
    <w:rsid w:val="00BE305F"/>
    <w:rsid w:val="00BE34C3"/>
    <w:rsid w:val="00BE42B9"/>
    <w:rsid w:val="00BE578F"/>
    <w:rsid w:val="00BE5A97"/>
    <w:rsid w:val="00BE608B"/>
    <w:rsid w:val="00BE7BA3"/>
    <w:rsid w:val="00BF1274"/>
    <w:rsid w:val="00BF1490"/>
    <w:rsid w:val="00BF1CBF"/>
    <w:rsid w:val="00BF2AF4"/>
    <w:rsid w:val="00BF4CAC"/>
    <w:rsid w:val="00BF4D72"/>
    <w:rsid w:val="00BF4EE9"/>
    <w:rsid w:val="00BF5368"/>
    <w:rsid w:val="00BF5682"/>
    <w:rsid w:val="00BF61C3"/>
    <w:rsid w:val="00BF64D9"/>
    <w:rsid w:val="00BF66A1"/>
    <w:rsid w:val="00BF7B09"/>
    <w:rsid w:val="00C003D2"/>
    <w:rsid w:val="00C0059E"/>
    <w:rsid w:val="00C00652"/>
    <w:rsid w:val="00C0079F"/>
    <w:rsid w:val="00C00962"/>
    <w:rsid w:val="00C00F7E"/>
    <w:rsid w:val="00C0174C"/>
    <w:rsid w:val="00C020E8"/>
    <w:rsid w:val="00C0340F"/>
    <w:rsid w:val="00C03F57"/>
    <w:rsid w:val="00C041CA"/>
    <w:rsid w:val="00C0425E"/>
    <w:rsid w:val="00C045EC"/>
    <w:rsid w:val="00C0509E"/>
    <w:rsid w:val="00C06B7C"/>
    <w:rsid w:val="00C1061D"/>
    <w:rsid w:val="00C1074D"/>
    <w:rsid w:val="00C10C69"/>
    <w:rsid w:val="00C11950"/>
    <w:rsid w:val="00C11BBF"/>
    <w:rsid w:val="00C12470"/>
    <w:rsid w:val="00C13033"/>
    <w:rsid w:val="00C1566C"/>
    <w:rsid w:val="00C20A95"/>
    <w:rsid w:val="00C20C9E"/>
    <w:rsid w:val="00C21DFA"/>
    <w:rsid w:val="00C2325B"/>
    <w:rsid w:val="00C23F79"/>
    <w:rsid w:val="00C244A0"/>
    <w:rsid w:val="00C25AD8"/>
    <w:rsid w:val="00C2674F"/>
    <w:rsid w:val="00C2692F"/>
    <w:rsid w:val="00C30EA5"/>
    <w:rsid w:val="00C3207C"/>
    <w:rsid w:val="00C32898"/>
    <w:rsid w:val="00C32BB4"/>
    <w:rsid w:val="00C32C81"/>
    <w:rsid w:val="00C34670"/>
    <w:rsid w:val="00C34806"/>
    <w:rsid w:val="00C34ACE"/>
    <w:rsid w:val="00C34C5E"/>
    <w:rsid w:val="00C34DA9"/>
    <w:rsid w:val="00C36523"/>
    <w:rsid w:val="00C377A0"/>
    <w:rsid w:val="00C37858"/>
    <w:rsid w:val="00C3791C"/>
    <w:rsid w:val="00C400E1"/>
    <w:rsid w:val="00C4015E"/>
    <w:rsid w:val="00C409DB"/>
    <w:rsid w:val="00C41187"/>
    <w:rsid w:val="00C41ADA"/>
    <w:rsid w:val="00C41F49"/>
    <w:rsid w:val="00C420ED"/>
    <w:rsid w:val="00C44623"/>
    <w:rsid w:val="00C44A73"/>
    <w:rsid w:val="00C44C81"/>
    <w:rsid w:val="00C44D88"/>
    <w:rsid w:val="00C4544C"/>
    <w:rsid w:val="00C46368"/>
    <w:rsid w:val="00C46968"/>
    <w:rsid w:val="00C46F4F"/>
    <w:rsid w:val="00C50314"/>
    <w:rsid w:val="00C50567"/>
    <w:rsid w:val="00C506C5"/>
    <w:rsid w:val="00C512A1"/>
    <w:rsid w:val="00C51D7B"/>
    <w:rsid w:val="00C52127"/>
    <w:rsid w:val="00C53349"/>
    <w:rsid w:val="00C53492"/>
    <w:rsid w:val="00C54701"/>
    <w:rsid w:val="00C54C47"/>
    <w:rsid w:val="00C55F6B"/>
    <w:rsid w:val="00C5725B"/>
    <w:rsid w:val="00C60772"/>
    <w:rsid w:val="00C6078C"/>
    <w:rsid w:val="00C60E1D"/>
    <w:rsid w:val="00C61B4A"/>
    <w:rsid w:val="00C63C31"/>
    <w:rsid w:val="00C655B4"/>
    <w:rsid w:val="00C66425"/>
    <w:rsid w:val="00C66DAD"/>
    <w:rsid w:val="00C706F8"/>
    <w:rsid w:val="00C71217"/>
    <w:rsid w:val="00C71E47"/>
    <w:rsid w:val="00C73206"/>
    <w:rsid w:val="00C733A4"/>
    <w:rsid w:val="00C7400C"/>
    <w:rsid w:val="00C75517"/>
    <w:rsid w:val="00C757A0"/>
    <w:rsid w:val="00C757BB"/>
    <w:rsid w:val="00C760DE"/>
    <w:rsid w:val="00C77025"/>
    <w:rsid w:val="00C7704B"/>
    <w:rsid w:val="00C777B4"/>
    <w:rsid w:val="00C778F4"/>
    <w:rsid w:val="00C77B24"/>
    <w:rsid w:val="00C80AFB"/>
    <w:rsid w:val="00C80E03"/>
    <w:rsid w:val="00C813E1"/>
    <w:rsid w:val="00C8160D"/>
    <w:rsid w:val="00C82630"/>
    <w:rsid w:val="00C845F5"/>
    <w:rsid w:val="00C84C29"/>
    <w:rsid w:val="00C85B4E"/>
    <w:rsid w:val="00C85CAD"/>
    <w:rsid w:val="00C86CCA"/>
    <w:rsid w:val="00C8750C"/>
    <w:rsid w:val="00C907F7"/>
    <w:rsid w:val="00C912CA"/>
    <w:rsid w:val="00C92C66"/>
    <w:rsid w:val="00C92CB1"/>
    <w:rsid w:val="00C94EE4"/>
    <w:rsid w:val="00C96C7F"/>
    <w:rsid w:val="00C97749"/>
    <w:rsid w:val="00C97974"/>
    <w:rsid w:val="00CA0195"/>
    <w:rsid w:val="00CA0771"/>
    <w:rsid w:val="00CA1E43"/>
    <w:rsid w:val="00CA2103"/>
    <w:rsid w:val="00CA2737"/>
    <w:rsid w:val="00CA32BE"/>
    <w:rsid w:val="00CA3E7B"/>
    <w:rsid w:val="00CA48C5"/>
    <w:rsid w:val="00CA48FF"/>
    <w:rsid w:val="00CA57EE"/>
    <w:rsid w:val="00CA6BAC"/>
    <w:rsid w:val="00CB002F"/>
    <w:rsid w:val="00CB0109"/>
    <w:rsid w:val="00CB1229"/>
    <w:rsid w:val="00CB1408"/>
    <w:rsid w:val="00CB3D91"/>
    <w:rsid w:val="00CB3F4D"/>
    <w:rsid w:val="00CB425C"/>
    <w:rsid w:val="00CB54B0"/>
    <w:rsid w:val="00CB6834"/>
    <w:rsid w:val="00CB6B99"/>
    <w:rsid w:val="00CB79E0"/>
    <w:rsid w:val="00CC0A43"/>
    <w:rsid w:val="00CC0BE2"/>
    <w:rsid w:val="00CC0CCD"/>
    <w:rsid w:val="00CC139B"/>
    <w:rsid w:val="00CC18EE"/>
    <w:rsid w:val="00CC1BDA"/>
    <w:rsid w:val="00CC2459"/>
    <w:rsid w:val="00CC3C84"/>
    <w:rsid w:val="00CC432E"/>
    <w:rsid w:val="00CC4B75"/>
    <w:rsid w:val="00CC4B98"/>
    <w:rsid w:val="00CC59C6"/>
    <w:rsid w:val="00CC6BAB"/>
    <w:rsid w:val="00CC7CE1"/>
    <w:rsid w:val="00CD0432"/>
    <w:rsid w:val="00CD211A"/>
    <w:rsid w:val="00CD3A74"/>
    <w:rsid w:val="00CD5E8E"/>
    <w:rsid w:val="00CD6231"/>
    <w:rsid w:val="00CD6F77"/>
    <w:rsid w:val="00CE0E9A"/>
    <w:rsid w:val="00CE1590"/>
    <w:rsid w:val="00CE1FDF"/>
    <w:rsid w:val="00CE22BA"/>
    <w:rsid w:val="00CE2954"/>
    <w:rsid w:val="00CE4C87"/>
    <w:rsid w:val="00CE544A"/>
    <w:rsid w:val="00CE556F"/>
    <w:rsid w:val="00CE6D84"/>
    <w:rsid w:val="00CE7CD7"/>
    <w:rsid w:val="00CF02A4"/>
    <w:rsid w:val="00CF0909"/>
    <w:rsid w:val="00CF2AD8"/>
    <w:rsid w:val="00CF3D6D"/>
    <w:rsid w:val="00CF4AF3"/>
    <w:rsid w:val="00CF5821"/>
    <w:rsid w:val="00CF58EC"/>
    <w:rsid w:val="00CF76D9"/>
    <w:rsid w:val="00CF795B"/>
    <w:rsid w:val="00D014B2"/>
    <w:rsid w:val="00D01880"/>
    <w:rsid w:val="00D03170"/>
    <w:rsid w:val="00D04C25"/>
    <w:rsid w:val="00D05A74"/>
    <w:rsid w:val="00D06841"/>
    <w:rsid w:val="00D0745E"/>
    <w:rsid w:val="00D07CC1"/>
    <w:rsid w:val="00D11E1C"/>
    <w:rsid w:val="00D12262"/>
    <w:rsid w:val="00D122CB"/>
    <w:rsid w:val="00D160B0"/>
    <w:rsid w:val="00D16593"/>
    <w:rsid w:val="00D17F94"/>
    <w:rsid w:val="00D20316"/>
    <w:rsid w:val="00D2163E"/>
    <w:rsid w:val="00D21C23"/>
    <w:rsid w:val="00D222B9"/>
    <w:rsid w:val="00D223FC"/>
    <w:rsid w:val="00D22960"/>
    <w:rsid w:val="00D23887"/>
    <w:rsid w:val="00D241FF"/>
    <w:rsid w:val="00D24FF1"/>
    <w:rsid w:val="00D25A03"/>
    <w:rsid w:val="00D26D1E"/>
    <w:rsid w:val="00D270F5"/>
    <w:rsid w:val="00D27E42"/>
    <w:rsid w:val="00D318BA"/>
    <w:rsid w:val="00D31F15"/>
    <w:rsid w:val="00D32046"/>
    <w:rsid w:val="00D32FBB"/>
    <w:rsid w:val="00D34875"/>
    <w:rsid w:val="00D354EF"/>
    <w:rsid w:val="00D36B34"/>
    <w:rsid w:val="00D4040D"/>
    <w:rsid w:val="00D41386"/>
    <w:rsid w:val="00D41A9C"/>
    <w:rsid w:val="00D42DFE"/>
    <w:rsid w:val="00D434EC"/>
    <w:rsid w:val="00D43CE9"/>
    <w:rsid w:val="00D44685"/>
    <w:rsid w:val="00D44763"/>
    <w:rsid w:val="00D45DF3"/>
    <w:rsid w:val="00D45E2B"/>
    <w:rsid w:val="00D46266"/>
    <w:rsid w:val="00D474CF"/>
    <w:rsid w:val="00D5099D"/>
    <w:rsid w:val="00D517D3"/>
    <w:rsid w:val="00D51A4D"/>
    <w:rsid w:val="00D5547E"/>
    <w:rsid w:val="00D560C3"/>
    <w:rsid w:val="00D56E95"/>
    <w:rsid w:val="00D57303"/>
    <w:rsid w:val="00D60232"/>
    <w:rsid w:val="00D6078B"/>
    <w:rsid w:val="00D61122"/>
    <w:rsid w:val="00D612B7"/>
    <w:rsid w:val="00D628B9"/>
    <w:rsid w:val="00D63856"/>
    <w:rsid w:val="00D64492"/>
    <w:rsid w:val="00D64A02"/>
    <w:rsid w:val="00D65AA0"/>
    <w:rsid w:val="00D6704C"/>
    <w:rsid w:val="00D707D8"/>
    <w:rsid w:val="00D71DDE"/>
    <w:rsid w:val="00D72423"/>
    <w:rsid w:val="00D72CD0"/>
    <w:rsid w:val="00D7341A"/>
    <w:rsid w:val="00D75787"/>
    <w:rsid w:val="00D75C50"/>
    <w:rsid w:val="00D76093"/>
    <w:rsid w:val="00D7667D"/>
    <w:rsid w:val="00D76AA5"/>
    <w:rsid w:val="00D771EF"/>
    <w:rsid w:val="00D77B2E"/>
    <w:rsid w:val="00D800AF"/>
    <w:rsid w:val="00D817BF"/>
    <w:rsid w:val="00D819B3"/>
    <w:rsid w:val="00D84DE0"/>
    <w:rsid w:val="00D84FE9"/>
    <w:rsid w:val="00D85314"/>
    <w:rsid w:val="00D858B5"/>
    <w:rsid w:val="00D8600C"/>
    <w:rsid w:val="00D869A1"/>
    <w:rsid w:val="00D86AEF"/>
    <w:rsid w:val="00D87775"/>
    <w:rsid w:val="00D87BE0"/>
    <w:rsid w:val="00D9004B"/>
    <w:rsid w:val="00D905C7"/>
    <w:rsid w:val="00D9110B"/>
    <w:rsid w:val="00D91FAD"/>
    <w:rsid w:val="00D926C3"/>
    <w:rsid w:val="00D92900"/>
    <w:rsid w:val="00D929F0"/>
    <w:rsid w:val="00D92FA3"/>
    <w:rsid w:val="00D966C1"/>
    <w:rsid w:val="00D97EBB"/>
    <w:rsid w:val="00DA119F"/>
    <w:rsid w:val="00DA413F"/>
    <w:rsid w:val="00DA4584"/>
    <w:rsid w:val="00DA5124"/>
    <w:rsid w:val="00DA614B"/>
    <w:rsid w:val="00DA6219"/>
    <w:rsid w:val="00DA6726"/>
    <w:rsid w:val="00DA6824"/>
    <w:rsid w:val="00DA69D6"/>
    <w:rsid w:val="00DA7330"/>
    <w:rsid w:val="00DA76FF"/>
    <w:rsid w:val="00DA7B1A"/>
    <w:rsid w:val="00DB0200"/>
    <w:rsid w:val="00DB0D1F"/>
    <w:rsid w:val="00DB1567"/>
    <w:rsid w:val="00DB1770"/>
    <w:rsid w:val="00DB25CE"/>
    <w:rsid w:val="00DB342B"/>
    <w:rsid w:val="00DB3A5A"/>
    <w:rsid w:val="00DB40A3"/>
    <w:rsid w:val="00DB423E"/>
    <w:rsid w:val="00DB42B0"/>
    <w:rsid w:val="00DB5E73"/>
    <w:rsid w:val="00DB6AE0"/>
    <w:rsid w:val="00DC1D93"/>
    <w:rsid w:val="00DC1F43"/>
    <w:rsid w:val="00DC3060"/>
    <w:rsid w:val="00DC4504"/>
    <w:rsid w:val="00DC482A"/>
    <w:rsid w:val="00DC6698"/>
    <w:rsid w:val="00DC7AA2"/>
    <w:rsid w:val="00DD021A"/>
    <w:rsid w:val="00DD11BA"/>
    <w:rsid w:val="00DD2B83"/>
    <w:rsid w:val="00DD3862"/>
    <w:rsid w:val="00DD38EE"/>
    <w:rsid w:val="00DD3D07"/>
    <w:rsid w:val="00DD4470"/>
    <w:rsid w:val="00DD5346"/>
    <w:rsid w:val="00DD54A8"/>
    <w:rsid w:val="00DD5697"/>
    <w:rsid w:val="00DD5B6E"/>
    <w:rsid w:val="00DD7723"/>
    <w:rsid w:val="00DE03B3"/>
    <w:rsid w:val="00DE041F"/>
    <w:rsid w:val="00DE0FB2"/>
    <w:rsid w:val="00DE1EE6"/>
    <w:rsid w:val="00DE2129"/>
    <w:rsid w:val="00DE2971"/>
    <w:rsid w:val="00DE2F66"/>
    <w:rsid w:val="00DE4A36"/>
    <w:rsid w:val="00DE5998"/>
    <w:rsid w:val="00DE5E77"/>
    <w:rsid w:val="00DE64FC"/>
    <w:rsid w:val="00DE77AE"/>
    <w:rsid w:val="00DF093E"/>
    <w:rsid w:val="00DF1DA2"/>
    <w:rsid w:val="00DF2F9B"/>
    <w:rsid w:val="00DF32F0"/>
    <w:rsid w:val="00DF4A49"/>
    <w:rsid w:val="00DF52FA"/>
    <w:rsid w:val="00DF5B87"/>
    <w:rsid w:val="00DF6BE5"/>
    <w:rsid w:val="00DF7086"/>
    <w:rsid w:val="00DF7EF6"/>
    <w:rsid w:val="00E001B2"/>
    <w:rsid w:val="00E00672"/>
    <w:rsid w:val="00E00FE2"/>
    <w:rsid w:val="00E01F42"/>
    <w:rsid w:val="00E024E8"/>
    <w:rsid w:val="00E0292B"/>
    <w:rsid w:val="00E04E38"/>
    <w:rsid w:val="00E05E22"/>
    <w:rsid w:val="00E06D4C"/>
    <w:rsid w:val="00E06F6C"/>
    <w:rsid w:val="00E07095"/>
    <w:rsid w:val="00E10609"/>
    <w:rsid w:val="00E114A3"/>
    <w:rsid w:val="00E11B14"/>
    <w:rsid w:val="00E11DB1"/>
    <w:rsid w:val="00E1215B"/>
    <w:rsid w:val="00E1288C"/>
    <w:rsid w:val="00E12EF9"/>
    <w:rsid w:val="00E12F97"/>
    <w:rsid w:val="00E136EC"/>
    <w:rsid w:val="00E141C6"/>
    <w:rsid w:val="00E155EB"/>
    <w:rsid w:val="00E157FF"/>
    <w:rsid w:val="00E15873"/>
    <w:rsid w:val="00E16E68"/>
    <w:rsid w:val="00E1720B"/>
    <w:rsid w:val="00E17CF8"/>
    <w:rsid w:val="00E20191"/>
    <w:rsid w:val="00E206D6"/>
    <w:rsid w:val="00E21003"/>
    <w:rsid w:val="00E21683"/>
    <w:rsid w:val="00E2581F"/>
    <w:rsid w:val="00E25AD1"/>
    <w:rsid w:val="00E2655D"/>
    <w:rsid w:val="00E26741"/>
    <w:rsid w:val="00E26DFD"/>
    <w:rsid w:val="00E270C4"/>
    <w:rsid w:val="00E30D56"/>
    <w:rsid w:val="00E3160F"/>
    <w:rsid w:val="00E3307B"/>
    <w:rsid w:val="00E334EC"/>
    <w:rsid w:val="00E3366E"/>
    <w:rsid w:val="00E3407B"/>
    <w:rsid w:val="00E356BB"/>
    <w:rsid w:val="00E35E8D"/>
    <w:rsid w:val="00E41056"/>
    <w:rsid w:val="00E41699"/>
    <w:rsid w:val="00E421C6"/>
    <w:rsid w:val="00E42F97"/>
    <w:rsid w:val="00E4465E"/>
    <w:rsid w:val="00E507FB"/>
    <w:rsid w:val="00E5161C"/>
    <w:rsid w:val="00E52086"/>
    <w:rsid w:val="00E52232"/>
    <w:rsid w:val="00E53840"/>
    <w:rsid w:val="00E53FA9"/>
    <w:rsid w:val="00E543A6"/>
    <w:rsid w:val="00E54487"/>
    <w:rsid w:val="00E54D43"/>
    <w:rsid w:val="00E569EF"/>
    <w:rsid w:val="00E576E2"/>
    <w:rsid w:val="00E57A30"/>
    <w:rsid w:val="00E6010D"/>
    <w:rsid w:val="00E60479"/>
    <w:rsid w:val="00E605C7"/>
    <w:rsid w:val="00E61D73"/>
    <w:rsid w:val="00E621B5"/>
    <w:rsid w:val="00E6422B"/>
    <w:rsid w:val="00E65098"/>
    <w:rsid w:val="00E655B2"/>
    <w:rsid w:val="00E6594F"/>
    <w:rsid w:val="00E65C13"/>
    <w:rsid w:val="00E66076"/>
    <w:rsid w:val="00E67CEB"/>
    <w:rsid w:val="00E710DD"/>
    <w:rsid w:val="00E71B33"/>
    <w:rsid w:val="00E71D56"/>
    <w:rsid w:val="00E72133"/>
    <w:rsid w:val="00E72AEA"/>
    <w:rsid w:val="00E73684"/>
    <w:rsid w:val="00E744CF"/>
    <w:rsid w:val="00E74AED"/>
    <w:rsid w:val="00E76278"/>
    <w:rsid w:val="00E80115"/>
    <w:rsid w:val="00E80C06"/>
    <w:rsid w:val="00E8116D"/>
    <w:rsid w:val="00E818D6"/>
    <w:rsid w:val="00E82DA8"/>
    <w:rsid w:val="00E854A0"/>
    <w:rsid w:val="00E87F7A"/>
    <w:rsid w:val="00E92094"/>
    <w:rsid w:val="00E92AFE"/>
    <w:rsid w:val="00E93B26"/>
    <w:rsid w:val="00E958CD"/>
    <w:rsid w:val="00E963CA"/>
    <w:rsid w:val="00E96BD7"/>
    <w:rsid w:val="00E96CBA"/>
    <w:rsid w:val="00EA069A"/>
    <w:rsid w:val="00EA0DB1"/>
    <w:rsid w:val="00EA0EE9"/>
    <w:rsid w:val="00EA4150"/>
    <w:rsid w:val="00EA41DD"/>
    <w:rsid w:val="00EA5469"/>
    <w:rsid w:val="00EA5FB8"/>
    <w:rsid w:val="00EA6084"/>
    <w:rsid w:val="00EA651A"/>
    <w:rsid w:val="00EA78BE"/>
    <w:rsid w:val="00EA7FF7"/>
    <w:rsid w:val="00EB0341"/>
    <w:rsid w:val="00EB1712"/>
    <w:rsid w:val="00EB1C1E"/>
    <w:rsid w:val="00EB3785"/>
    <w:rsid w:val="00EB3F63"/>
    <w:rsid w:val="00EB50A5"/>
    <w:rsid w:val="00EB5494"/>
    <w:rsid w:val="00EB5BD4"/>
    <w:rsid w:val="00EB7146"/>
    <w:rsid w:val="00EB7F11"/>
    <w:rsid w:val="00EC1411"/>
    <w:rsid w:val="00EC2343"/>
    <w:rsid w:val="00EC2C28"/>
    <w:rsid w:val="00EC2D99"/>
    <w:rsid w:val="00EC334D"/>
    <w:rsid w:val="00EC3433"/>
    <w:rsid w:val="00EC4445"/>
    <w:rsid w:val="00EC44A0"/>
    <w:rsid w:val="00EC48AB"/>
    <w:rsid w:val="00EC7FEC"/>
    <w:rsid w:val="00ED0A50"/>
    <w:rsid w:val="00ED0C64"/>
    <w:rsid w:val="00ED108A"/>
    <w:rsid w:val="00ED1562"/>
    <w:rsid w:val="00ED26D3"/>
    <w:rsid w:val="00ED3180"/>
    <w:rsid w:val="00ED45A3"/>
    <w:rsid w:val="00ED52CA"/>
    <w:rsid w:val="00ED5860"/>
    <w:rsid w:val="00ED6EBD"/>
    <w:rsid w:val="00EE0437"/>
    <w:rsid w:val="00EE1B74"/>
    <w:rsid w:val="00EE1E95"/>
    <w:rsid w:val="00EE2852"/>
    <w:rsid w:val="00EE30EB"/>
    <w:rsid w:val="00EE35C9"/>
    <w:rsid w:val="00EE3D65"/>
    <w:rsid w:val="00EE3F20"/>
    <w:rsid w:val="00EE6BC8"/>
    <w:rsid w:val="00EF0E0C"/>
    <w:rsid w:val="00EF154F"/>
    <w:rsid w:val="00EF1CB7"/>
    <w:rsid w:val="00EF4F2A"/>
    <w:rsid w:val="00EF5029"/>
    <w:rsid w:val="00EF5687"/>
    <w:rsid w:val="00F02AE0"/>
    <w:rsid w:val="00F05ECA"/>
    <w:rsid w:val="00F064F3"/>
    <w:rsid w:val="00F130FF"/>
    <w:rsid w:val="00F14013"/>
    <w:rsid w:val="00F14A3B"/>
    <w:rsid w:val="00F16234"/>
    <w:rsid w:val="00F1710F"/>
    <w:rsid w:val="00F1786A"/>
    <w:rsid w:val="00F17F30"/>
    <w:rsid w:val="00F20395"/>
    <w:rsid w:val="00F2075E"/>
    <w:rsid w:val="00F24043"/>
    <w:rsid w:val="00F241B0"/>
    <w:rsid w:val="00F2462A"/>
    <w:rsid w:val="00F24E78"/>
    <w:rsid w:val="00F24E9E"/>
    <w:rsid w:val="00F30D07"/>
    <w:rsid w:val="00F31660"/>
    <w:rsid w:val="00F31673"/>
    <w:rsid w:val="00F348C3"/>
    <w:rsid w:val="00F3566E"/>
    <w:rsid w:val="00F35B6F"/>
    <w:rsid w:val="00F35CD2"/>
    <w:rsid w:val="00F375FB"/>
    <w:rsid w:val="00F40AFD"/>
    <w:rsid w:val="00F41AC1"/>
    <w:rsid w:val="00F428FA"/>
    <w:rsid w:val="00F431BC"/>
    <w:rsid w:val="00F4367A"/>
    <w:rsid w:val="00F43856"/>
    <w:rsid w:val="00F44049"/>
    <w:rsid w:val="00F445B1"/>
    <w:rsid w:val="00F44A49"/>
    <w:rsid w:val="00F44B49"/>
    <w:rsid w:val="00F4581C"/>
    <w:rsid w:val="00F45CD4"/>
    <w:rsid w:val="00F476B4"/>
    <w:rsid w:val="00F47F07"/>
    <w:rsid w:val="00F50C20"/>
    <w:rsid w:val="00F50D59"/>
    <w:rsid w:val="00F518BD"/>
    <w:rsid w:val="00F51C9A"/>
    <w:rsid w:val="00F52AB6"/>
    <w:rsid w:val="00F52DDC"/>
    <w:rsid w:val="00F52E15"/>
    <w:rsid w:val="00F54A95"/>
    <w:rsid w:val="00F54A9A"/>
    <w:rsid w:val="00F554D2"/>
    <w:rsid w:val="00F55E7F"/>
    <w:rsid w:val="00F55EA5"/>
    <w:rsid w:val="00F5632A"/>
    <w:rsid w:val="00F563D6"/>
    <w:rsid w:val="00F57A81"/>
    <w:rsid w:val="00F61106"/>
    <w:rsid w:val="00F61760"/>
    <w:rsid w:val="00F62FF9"/>
    <w:rsid w:val="00F63207"/>
    <w:rsid w:val="00F6379C"/>
    <w:rsid w:val="00F643E8"/>
    <w:rsid w:val="00F66812"/>
    <w:rsid w:val="00F66DCA"/>
    <w:rsid w:val="00F7062A"/>
    <w:rsid w:val="00F70899"/>
    <w:rsid w:val="00F717C3"/>
    <w:rsid w:val="00F71B0E"/>
    <w:rsid w:val="00F72BDF"/>
    <w:rsid w:val="00F7337F"/>
    <w:rsid w:val="00F73BC5"/>
    <w:rsid w:val="00F74F53"/>
    <w:rsid w:val="00F75549"/>
    <w:rsid w:val="00F756F7"/>
    <w:rsid w:val="00F7606D"/>
    <w:rsid w:val="00F76CE1"/>
    <w:rsid w:val="00F80635"/>
    <w:rsid w:val="00F80DF7"/>
    <w:rsid w:val="00F81670"/>
    <w:rsid w:val="00F817DD"/>
    <w:rsid w:val="00F82024"/>
    <w:rsid w:val="00F82D52"/>
    <w:rsid w:val="00F83A47"/>
    <w:rsid w:val="00F841CF"/>
    <w:rsid w:val="00F848F6"/>
    <w:rsid w:val="00F8636E"/>
    <w:rsid w:val="00F86962"/>
    <w:rsid w:val="00F87080"/>
    <w:rsid w:val="00F8741C"/>
    <w:rsid w:val="00F902FD"/>
    <w:rsid w:val="00F90A12"/>
    <w:rsid w:val="00F92238"/>
    <w:rsid w:val="00F93576"/>
    <w:rsid w:val="00F93F35"/>
    <w:rsid w:val="00F94E95"/>
    <w:rsid w:val="00F95BC9"/>
    <w:rsid w:val="00F96A87"/>
    <w:rsid w:val="00F96E23"/>
    <w:rsid w:val="00F97C01"/>
    <w:rsid w:val="00FA10A6"/>
    <w:rsid w:val="00FA13AC"/>
    <w:rsid w:val="00FA19F8"/>
    <w:rsid w:val="00FA2F7D"/>
    <w:rsid w:val="00FA4A8D"/>
    <w:rsid w:val="00FA4C89"/>
    <w:rsid w:val="00FA624C"/>
    <w:rsid w:val="00FA7323"/>
    <w:rsid w:val="00FB0E6F"/>
    <w:rsid w:val="00FB1A0C"/>
    <w:rsid w:val="00FB2971"/>
    <w:rsid w:val="00FB48DE"/>
    <w:rsid w:val="00FB491D"/>
    <w:rsid w:val="00FB70AC"/>
    <w:rsid w:val="00FC0819"/>
    <w:rsid w:val="00FC100D"/>
    <w:rsid w:val="00FC262C"/>
    <w:rsid w:val="00FC3739"/>
    <w:rsid w:val="00FC3BD2"/>
    <w:rsid w:val="00FC468E"/>
    <w:rsid w:val="00FC4861"/>
    <w:rsid w:val="00FC4CB1"/>
    <w:rsid w:val="00FC5133"/>
    <w:rsid w:val="00FC6A6C"/>
    <w:rsid w:val="00FC71D8"/>
    <w:rsid w:val="00FC7B02"/>
    <w:rsid w:val="00FD0330"/>
    <w:rsid w:val="00FD0FAC"/>
    <w:rsid w:val="00FD1A21"/>
    <w:rsid w:val="00FD1DFA"/>
    <w:rsid w:val="00FD262F"/>
    <w:rsid w:val="00FD28D5"/>
    <w:rsid w:val="00FD30CB"/>
    <w:rsid w:val="00FD3590"/>
    <w:rsid w:val="00FD4134"/>
    <w:rsid w:val="00FD4966"/>
    <w:rsid w:val="00FD4A43"/>
    <w:rsid w:val="00FD4C89"/>
    <w:rsid w:val="00FE07FD"/>
    <w:rsid w:val="00FE1E6D"/>
    <w:rsid w:val="00FE24BC"/>
    <w:rsid w:val="00FE2DBD"/>
    <w:rsid w:val="00FE35F3"/>
    <w:rsid w:val="00FE36F7"/>
    <w:rsid w:val="00FE3A39"/>
    <w:rsid w:val="00FE5245"/>
    <w:rsid w:val="00FE53F3"/>
    <w:rsid w:val="00FE57DC"/>
    <w:rsid w:val="00FE5A52"/>
    <w:rsid w:val="00FE5DC8"/>
    <w:rsid w:val="00FF0D49"/>
    <w:rsid w:val="0114B3FE"/>
    <w:rsid w:val="013654E6"/>
    <w:rsid w:val="013737D4"/>
    <w:rsid w:val="014A48AF"/>
    <w:rsid w:val="015ACB42"/>
    <w:rsid w:val="017A3AC5"/>
    <w:rsid w:val="017A3F7C"/>
    <w:rsid w:val="017FC586"/>
    <w:rsid w:val="01A79989"/>
    <w:rsid w:val="01EE2C13"/>
    <w:rsid w:val="01EF8251"/>
    <w:rsid w:val="021C971B"/>
    <w:rsid w:val="021FC04B"/>
    <w:rsid w:val="022A91AC"/>
    <w:rsid w:val="024ED7EE"/>
    <w:rsid w:val="025F0252"/>
    <w:rsid w:val="026FF515"/>
    <w:rsid w:val="029AF385"/>
    <w:rsid w:val="02C312E1"/>
    <w:rsid w:val="02C9E19F"/>
    <w:rsid w:val="02D4E1F5"/>
    <w:rsid w:val="02D51C5B"/>
    <w:rsid w:val="02D8B492"/>
    <w:rsid w:val="02DC965C"/>
    <w:rsid w:val="02E66A28"/>
    <w:rsid w:val="02FCF095"/>
    <w:rsid w:val="0314D973"/>
    <w:rsid w:val="03341458"/>
    <w:rsid w:val="036E0B0F"/>
    <w:rsid w:val="0388418F"/>
    <w:rsid w:val="03AB3955"/>
    <w:rsid w:val="03D51984"/>
    <w:rsid w:val="03E0A5CF"/>
    <w:rsid w:val="03E5C967"/>
    <w:rsid w:val="03F75C9D"/>
    <w:rsid w:val="04203F75"/>
    <w:rsid w:val="0428CCB3"/>
    <w:rsid w:val="04508144"/>
    <w:rsid w:val="04B6A829"/>
    <w:rsid w:val="04BB5D8F"/>
    <w:rsid w:val="04CD3410"/>
    <w:rsid w:val="04F46330"/>
    <w:rsid w:val="0513A567"/>
    <w:rsid w:val="052C6EAA"/>
    <w:rsid w:val="053D4C44"/>
    <w:rsid w:val="0583323F"/>
    <w:rsid w:val="05AA2329"/>
    <w:rsid w:val="05BA0C8B"/>
    <w:rsid w:val="05D087F2"/>
    <w:rsid w:val="05D26CE3"/>
    <w:rsid w:val="05F0BA0A"/>
    <w:rsid w:val="05F1B008"/>
    <w:rsid w:val="0614B8F9"/>
    <w:rsid w:val="0628D992"/>
    <w:rsid w:val="06489C14"/>
    <w:rsid w:val="0665CECC"/>
    <w:rsid w:val="066C0004"/>
    <w:rsid w:val="0682B1FF"/>
    <w:rsid w:val="06903FFB"/>
    <w:rsid w:val="0691897C"/>
    <w:rsid w:val="06B09452"/>
    <w:rsid w:val="06E6732D"/>
    <w:rsid w:val="06F984BF"/>
    <w:rsid w:val="0703EB3E"/>
    <w:rsid w:val="073D95E2"/>
    <w:rsid w:val="073EC4C1"/>
    <w:rsid w:val="0743051B"/>
    <w:rsid w:val="0757D33D"/>
    <w:rsid w:val="076E3D9D"/>
    <w:rsid w:val="07811EDD"/>
    <w:rsid w:val="07892E68"/>
    <w:rsid w:val="07A893FA"/>
    <w:rsid w:val="07A8D7E0"/>
    <w:rsid w:val="07AAD6E3"/>
    <w:rsid w:val="07C1B2C2"/>
    <w:rsid w:val="07D34665"/>
    <w:rsid w:val="07F4E77E"/>
    <w:rsid w:val="089D24F2"/>
    <w:rsid w:val="091E699B"/>
    <w:rsid w:val="0931AC63"/>
    <w:rsid w:val="094D16CC"/>
    <w:rsid w:val="094D55B1"/>
    <w:rsid w:val="09573FC1"/>
    <w:rsid w:val="0977520F"/>
    <w:rsid w:val="0978FCD7"/>
    <w:rsid w:val="09B8415F"/>
    <w:rsid w:val="09CF5387"/>
    <w:rsid w:val="09D4EDF4"/>
    <w:rsid w:val="09DD8107"/>
    <w:rsid w:val="09FDF027"/>
    <w:rsid w:val="0A0AB696"/>
    <w:rsid w:val="0A18A59E"/>
    <w:rsid w:val="0A4599A9"/>
    <w:rsid w:val="0A52E263"/>
    <w:rsid w:val="0A6CD8AA"/>
    <w:rsid w:val="0A74AB4F"/>
    <w:rsid w:val="0A766B93"/>
    <w:rsid w:val="0A852668"/>
    <w:rsid w:val="0A9669DA"/>
    <w:rsid w:val="0AC0093F"/>
    <w:rsid w:val="0AD4E3CF"/>
    <w:rsid w:val="0AEA21B1"/>
    <w:rsid w:val="0AF31022"/>
    <w:rsid w:val="0AF69B51"/>
    <w:rsid w:val="0B1A0410"/>
    <w:rsid w:val="0B1FB958"/>
    <w:rsid w:val="0B207DA2"/>
    <w:rsid w:val="0B794FB7"/>
    <w:rsid w:val="0BA0F17A"/>
    <w:rsid w:val="0BAE341F"/>
    <w:rsid w:val="0BBCAD49"/>
    <w:rsid w:val="0BF7C5CB"/>
    <w:rsid w:val="0BFBFFDC"/>
    <w:rsid w:val="0C0423C2"/>
    <w:rsid w:val="0C2B7D43"/>
    <w:rsid w:val="0C2FA934"/>
    <w:rsid w:val="0C721681"/>
    <w:rsid w:val="0CAA42A4"/>
    <w:rsid w:val="0CCFBAEA"/>
    <w:rsid w:val="0CD26EB9"/>
    <w:rsid w:val="0CE910CF"/>
    <w:rsid w:val="0D421672"/>
    <w:rsid w:val="0D4C2DB7"/>
    <w:rsid w:val="0D805BB9"/>
    <w:rsid w:val="0D93BCE9"/>
    <w:rsid w:val="0DDC411F"/>
    <w:rsid w:val="0DE99D91"/>
    <w:rsid w:val="0E3D7B8A"/>
    <w:rsid w:val="0E92925E"/>
    <w:rsid w:val="0EB72202"/>
    <w:rsid w:val="0ECB6E02"/>
    <w:rsid w:val="0EE42BFA"/>
    <w:rsid w:val="0F216C85"/>
    <w:rsid w:val="0F28E932"/>
    <w:rsid w:val="0F3B3CB5"/>
    <w:rsid w:val="0F4445B8"/>
    <w:rsid w:val="0F60D816"/>
    <w:rsid w:val="0F68F763"/>
    <w:rsid w:val="0F69E4DE"/>
    <w:rsid w:val="0F79A4DF"/>
    <w:rsid w:val="0F9503D0"/>
    <w:rsid w:val="0F99F81A"/>
    <w:rsid w:val="0FD2E9A1"/>
    <w:rsid w:val="1016CA67"/>
    <w:rsid w:val="103ECF42"/>
    <w:rsid w:val="105F655E"/>
    <w:rsid w:val="10613BA7"/>
    <w:rsid w:val="1064868B"/>
    <w:rsid w:val="10755722"/>
    <w:rsid w:val="10BCB748"/>
    <w:rsid w:val="10BE67D6"/>
    <w:rsid w:val="10CC0FE1"/>
    <w:rsid w:val="10E4A126"/>
    <w:rsid w:val="10FA769B"/>
    <w:rsid w:val="11040C17"/>
    <w:rsid w:val="1122337A"/>
    <w:rsid w:val="1153055E"/>
    <w:rsid w:val="11587138"/>
    <w:rsid w:val="117DB3C7"/>
    <w:rsid w:val="118E5108"/>
    <w:rsid w:val="11BF0D74"/>
    <w:rsid w:val="11DA9AC0"/>
    <w:rsid w:val="12166428"/>
    <w:rsid w:val="12183667"/>
    <w:rsid w:val="12184102"/>
    <w:rsid w:val="12289C33"/>
    <w:rsid w:val="124DE2F6"/>
    <w:rsid w:val="125B87B1"/>
    <w:rsid w:val="12601A51"/>
    <w:rsid w:val="128634A9"/>
    <w:rsid w:val="1299BB1E"/>
    <w:rsid w:val="129B0958"/>
    <w:rsid w:val="12A8CA6B"/>
    <w:rsid w:val="12AB6D24"/>
    <w:rsid w:val="12B82069"/>
    <w:rsid w:val="12C54F99"/>
    <w:rsid w:val="12FE2207"/>
    <w:rsid w:val="135B2DC9"/>
    <w:rsid w:val="135D7EF8"/>
    <w:rsid w:val="13673D21"/>
    <w:rsid w:val="136CCC30"/>
    <w:rsid w:val="136D8464"/>
    <w:rsid w:val="1395D26C"/>
    <w:rsid w:val="139C3D3E"/>
    <w:rsid w:val="13AF363B"/>
    <w:rsid w:val="13BAFF69"/>
    <w:rsid w:val="13C19291"/>
    <w:rsid w:val="14009B08"/>
    <w:rsid w:val="1404F04E"/>
    <w:rsid w:val="1409AC91"/>
    <w:rsid w:val="1415C754"/>
    <w:rsid w:val="145DB24D"/>
    <w:rsid w:val="146B43E7"/>
    <w:rsid w:val="148A5580"/>
    <w:rsid w:val="14BF4969"/>
    <w:rsid w:val="14CF7F80"/>
    <w:rsid w:val="14EE8BD3"/>
    <w:rsid w:val="14FE5DBF"/>
    <w:rsid w:val="1500E2D2"/>
    <w:rsid w:val="1506884C"/>
    <w:rsid w:val="15111A01"/>
    <w:rsid w:val="1535CF3B"/>
    <w:rsid w:val="15513EF5"/>
    <w:rsid w:val="156187F2"/>
    <w:rsid w:val="15878242"/>
    <w:rsid w:val="15C44FC4"/>
    <w:rsid w:val="15CC4AC2"/>
    <w:rsid w:val="15D1FD56"/>
    <w:rsid w:val="15DFBD2F"/>
    <w:rsid w:val="15E8150A"/>
    <w:rsid w:val="15F2F887"/>
    <w:rsid w:val="15F982AE"/>
    <w:rsid w:val="15FBA3A7"/>
    <w:rsid w:val="16041D8A"/>
    <w:rsid w:val="16258359"/>
    <w:rsid w:val="162B7F1B"/>
    <w:rsid w:val="16562AA6"/>
    <w:rsid w:val="165F06BD"/>
    <w:rsid w:val="16958AF7"/>
    <w:rsid w:val="16A69E4E"/>
    <w:rsid w:val="16A97DA2"/>
    <w:rsid w:val="16E549ED"/>
    <w:rsid w:val="16EFB08F"/>
    <w:rsid w:val="17112DDF"/>
    <w:rsid w:val="1737B29C"/>
    <w:rsid w:val="1766D75F"/>
    <w:rsid w:val="178088FF"/>
    <w:rsid w:val="17A09F97"/>
    <w:rsid w:val="17DDB0F9"/>
    <w:rsid w:val="17DE2320"/>
    <w:rsid w:val="181A0A7D"/>
    <w:rsid w:val="185BD0B8"/>
    <w:rsid w:val="185C4D4A"/>
    <w:rsid w:val="185E0B7F"/>
    <w:rsid w:val="18BB3C7C"/>
    <w:rsid w:val="18C0B0AF"/>
    <w:rsid w:val="18E0AD40"/>
    <w:rsid w:val="1901CCB8"/>
    <w:rsid w:val="193D4767"/>
    <w:rsid w:val="19747D92"/>
    <w:rsid w:val="197BAE22"/>
    <w:rsid w:val="198D17AB"/>
    <w:rsid w:val="19A1DF05"/>
    <w:rsid w:val="19B599CB"/>
    <w:rsid w:val="19CE9707"/>
    <w:rsid w:val="19FA35C0"/>
    <w:rsid w:val="1A178442"/>
    <w:rsid w:val="1A2FFC49"/>
    <w:rsid w:val="1A4809ED"/>
    <w:rsid w:val="1A739F3E"/>
    <w:rsid w:val="1A81DCD8"/>
    <w:rsid w:val="1A868117"/>
    <w:rsid w:val="1A8B71F8"/>
    <w:rsid w:val="1A8FB32A"/>
    <w:rsid w:val="1A948A14"/>
    <w:rsid w:val="1ABADBDD"/>
    <w:rsid w:val="1ABBEB7A"/>
    <w:rsid w:val="1ADD96F0"/>
    <w:rsid w:val="1AE5FFB1"/>
    <w:rsid w:val="1AFCE308"/>
    <w:rsid w:val="1B1071EB"/>
    <w:rsid w:val="1B280CE1"/>
    <w:rsid w:val="1B34FC8E"/>
    <w:rsid w:val="1B406A01"/>
    <w:rsid w:val="1B5B8660"/>
    <w:rsid w:val="1B5BA129"/>
    <w:rsid w:val="1B66A396"/>
    <w:rsid w:val="1B90603D"/>
    <w:rsid w:val="1BB13DB4"/>
    <w:rsid w:val="1BBB42EC"/>
    <w:rsid w:val="1BC70753"/>
    <w:rsid w:val="1BE653D2"/>
    <w:rsid w:val="1C0E1A9B"/>
    <w:rsid w:val="1C33FC8A"/>
    <w:rsid w:val="1C3CC278"/>
    <w:rsid w:val="1C59F524"/>
    <w:rsid w:val="1CB51FE4"/>
    <w:rsid w:val="1CD9F76F"/>
    <w:rsid w:val="1CDA3647"/>
    <w:rsid w:val="1D410842"/>
    <w:rsid w:val="1D440D22"/>
    <w:rsid w:val="1D49F0F2"/>
    <w:rsid w:val="1D4EE7D3"/>
    <w:rsid w:val="1D53D092"/>
    <w:rsid w:val="1D5F7E98"/>
    <w:rsid w:val="1D81F8F1"/>
    <w:rsid w:val="1D8C960F"/>
    <w:rsid w:val="1DA7145C"/>
    <w:rsid w:val="1DB7C2F4"/>
    <w:rsid w:val="1DC42185"/>
    <w:rsid w:val="1E0F107F"/>
    <w:rsid w:val="1E2AF266"/>
    <w:rsid w:val="1E8C59D2"/>
    <w:rsid w:val="1ED00DBE"/>
    <w:rsid w:val="1EE867A8"/>
    <w:rsid w:val="1EF22EA6"/>
    <w:rsid w:val="1EF352DF"/>
    <w:rsid w:val="1F1ABA53"/>
    <w:rsid w:val="1F1E12A1"/>
    <w:rsid w:val="1F2386DA"/>
    <w:rsid w:val="1F3B8192"/>
    <w:rsid w:val="1F4D86B2"/>
    <w:rsid w:val="1F79E42B"/>
    <w:rsid w:val="1F7A4007"/>
    <w:rsid w:val="1FAFFC02"/>
    <w:rsid w:val="1FBA645D"/>
    <w:rsid w:val="1FC13552"/>
    <w:rsid w:val="1FD2211F"/>
    <w:rsid w:val="1FFFF4B6"/>
    <w:rsid w:val="200C408B"/>
    <w:rsid w:val="204AE35E"/>
    <w:rsid w:val="206AB406"/>
    <w:rsid w:val="20811261"/>
    <w:rsid w:val="2083476A"/>
    <w:rsid w:val="20CC643F"/>
    <w:rsid w:val="20FF0017"/>
    <w:rsid w:val="211A2FE1"/>
    <w:rsid w:val="213223E9"/>
    <w:rsid w:val="2157D22A"/>
    <w:rsid w:val="21671FE5"/>
    <w:rsid w:val="218E893C"/>
    <w:rsid w:val="2195B217"/>
    <w:rsid w:val="21C69E05"/>
    <w:rsid w:val="21DAD19D"/>
    <w:rsid w:val="21E2DEC8"/>
    <w:rsid w:val="21EC3946"/>
    <w:rsid w:val="22173B8E"/>
    <w:rsid w:val="2243CB4C"/>
    <w:rsid w:val="2265F0D2"/>
    <w:rsid w:val="227A288E"/>
    <w:rsid w:val="228580CF"/>
    <w:rsid w:val="22A8FEF2"/>
    <w:rsid w:val="22B1A1BE"/>
    <w:rsid w:val="22C3DCDB"/>
    <w:rsid w:val="22E58699"/>
    <w:rsid w:val="22FC3FBC"/>
    <w:rsid w:val="231F6E52"/>
    <w:rsid w:val="23567AEC"/>
    <w:rsid w:val="236672B3"/>
    <w:rsid w:val="23861304"/>
    <w:rsid w:val="239E8C68"/>
    <w:rsid w:val="23C3A3B3"/>
    <w:rsid w:val="23D1C484"/>
    <w:rsid w:val="23E949D8"/>
    <w:rsid w:val="23F11CEB"/>
    <w:rsid w:val="24164293"/>
    <w:rsid w:val="24309F55"/>
    <w:rsid w:val="2432652E"/>
    <w:rsid w:val="2438A846"/>
    <w:rsid w:val="245CBB30"/>
    <w:rsid w:val="24827044"/>
    <w:rsid w:val="24D365D9"/>
    <w:rsid w:val="2503592C"/>
    <w:rsid w:val="25193068"/>
    <w:rsid w:val="25226077"/>
    <w:rsid w:val="252785E0"/>
    <w:rsid w:val="2540D15B"/>
    <w:rsid w:val="2558D10A"/>
    <w:rsid w:val="2575EFBB"/>
    <w:rsid w:val="25770F59"/>
    <w:rsid w:val="25B18049"/>
    <w:rsid w:val="25D4C947"/>
    <w:rsid w:val="25E0BEA3"/>
    <w:rsid w:val="26426FD8"/>
    <w:rsid w:val="26747A0D"/>
    <w:rsid w:val="2719D7CB"/>
    <w:rsid w:val="2726BFF4"/>
    <w:rsid w:val="2728F906"/>
    <w:rsid w:val="275A0ECA"/>
    <w:rsid w:val="275FF530"/>
    <w:rsid w:val="277FAB1F"/>
    <w:rsid w:val="27A9DDAA"/>
    <w:rsid w:val="27B72305"/>
    <w:rsid w:val="27F18630"/>
    <w:rsid w:val="2811087F"/>
    <w:rsid w:val="2834108F"/>
    <w:rsid w:val="2842A9FC"/>
    <w:rsid w:val="28640BFB"/>
    <w:rsid w:val="286F72E3"/>
    <w:rsid w:val="286F8450"/>
    <w:rsid w:val="28A10F48"/>
    <w:rsid w:val="28CB8EEF"/>
    <w:rsid w:val="29047176"/>
    <w:rsid w:val="29229F5F"/>
    <w:rsid w:val="29486D8B"/>
    <w:rsid w:val="294DE410"/>
    <w:rsid w:val="297275A1"/>
    <w:rsid w:val="297F5CB1"/>
    <w:rsid w:val="299DD540"/>
    <w:rsid w:val="29D594B5"/>
    <w:rsid w:val="29DA48B5"/>
    <w:rsid w:val="2A55F630"/>
    <w:rsid w:val="2A6A5467"/>
    <w:rsid w:val="2A78408E"/>
    <w:rsid w:val="2A93AA7F"/>
    <w:rsid w:val="2ABC006F"/>
    <w:rsid w:val="2AFBB446"/>
    <w:rsid w:val="2AFBF5F4"/>
    <w:rsid w:val="2B1949A4"/>
    <w:rsid w:val="2B2C6C51"/>
    <w:rsid w:val="2B320925"/>
    <w:rsid w:val="2B578A5F"/>
    <w:rsid w:val="2BD71621"/>
    <w:rsid w:val="2BDF3CDC"/>
    <w:rsid w:val="2BDFF5DE"/>
    <w:rsid w:val="2BFEBDE0"/>
    <w:rsid w:val="2C0B0E2C"/>
    <w:rsid w:val="2C114866"/>
    <w:rsid w:val="2C1A049A"/>
    <w:rsid w:val="2C2B886D"/>
    <w:rsid w:val="2C6EEE5B"/>
    <w:rsid w:val="2C740F2B"/>
    <w:rsid w:val="2C7BEABE"/>
    <w:rsid w:val="2CA325C9"/>
    <w:rsid w:val="2CAD283B"/>
    <w:rsid w:val="2CC4E500"/>
    <w:rsid w:val="2CFB0F00"/>
    <w:rsid w:val="2D0D2657"/>
    <w:rsid w:val="2D3905F8"/>
    <w:rsid w:val="2D458528"/>
    <w:rsid w:val="2D4DF93E"/>
    <w:rsid w:val="2D646392"/>
    <w:rsid w:val="2D87D73D"/>
    <w:rsid w:val="2DB06458"/>
    <w:rsid w:val="2DE0D5AE"/>
    <w:rsid w:val="2DE27DC4"/>
    <w:rsid w:val="2DF428AE"/>
    <w:rsid w:val="2E0AA73F"/>
    <w:rsid w:val="2E360C37"/>
    <w:rsid w:val="2E709612"/>
    <w:rsid w:val="2E75B4A8"/>
    <w:rsid w:val="2E8E1D6A"/>
    <w:rsid w:val="2EF48747"/>
    <w:rsid w:val="2F2B0960"/>
    <w:rsid w:val="2F2FBAE2"/>
    <w:rsid w:val="2F403EFD"/>
    <w:rsid w:val="2F5992E2"/>
    <w:rsid w:val="2F644443"/>
    <w:rsid w:val="2F7B5AED"/>
    <w:rsid w:val="2F8A73AF"/>
    <w:rsid w:val="2F8ECAAE"/>
    <w:rsid w:val="2F91D652"/>
    <w:rsid w:val="2FC2A5DF"/>
    <w:rsid w:val="2FF8DA9D"/>
    <w:rsid w:val="30004E38"/>
    <w:rsid w:val="3011C3CD"/>
    <w:rsid w:val="301C2580"/>
    <w:rsid w:val="3045CB17"/>
    <w:rsid w:val="3077A1E3"/>
    <w:rsid w:val="307965DB"/>
    <w:rsid w:val="308F8B53"/>
    <w:rsid w:val="3090528B"/>
    <w:rsid w:val="30A60156"/>
    <w:rsid w:val="30E5601A"/>
    <w:rsid w:val="30FDF308"/>
    <w:rsid w:val="31BFBB04"/>
    <w:rsid w:val="31CA2211"/>
    <w:rsid w:val="31CED7A2"/>
    <w:rsid w:val="31E5DC7E"/>
    <w:rsid w:val="31F67601"/>
    <w:rsid w:val="31FDC531"/>
    <w:rsid w:val="320533E7"/>
    <w:rsid w:val="322480EA"/>
    <w:rsid w:val="32297115"/>
    <w:rsid w:val="32B74AB0"/>
    <w:rsid w:val="32D81513"/>
    <w:rsid w:val="32DF0FE4"/>
    <w:rsid w:val="32E71B5C"/>
    <w:rsid w:val="32EAF6F6"/>
    <w:rsid w:val="3342056B"/>
    <w:rsid w:val="33466D83"/>
    <w:rsid w:val="3348ACE1"/>
    <w:rsid w:val="33892EC1"/>
    <w:rsid w:val="338AF6CC"/>
    <w:rsid w:val="339570C8"/>
    <w:rsid w:val="339A0D79"/>
    <w:rsid w:val="33C54176"/>
    <w:rsid w:val="33CD7665"/>
    <w:rsid w:val="33FF98CF"/>
    <w:rsid w:val="34006266"/>
    <w:rsid w:val="341A3E9D"/>
    <w:rsid w:val="342543B1"/>
    <w:rsid w:val="3461B18C"/>
    <w:rsid w:val="3467FABC"/>
    <w:rsid w:val="3488B13E"/>
    <w:rsid w:val="349E2A10"/>
    <w:rsid w:val="34F1452F"/>
    <w:rsid w:val="3544E12B"/>
    <w:rsid w:val="356BA7B4"/>
    <w:rsid w:val="356FCD01"/>
    <w:rsid w:val="3578BC2E"/>
    <w:rsid w:val="35C20C83"/>
    <w:rsid w:val="35E11822"/>
    <w:rsid w:val="36193450"/>
    <w:rsid w:val="3659DA55"/>
    <w:rsid w:val="36679BFE"/>
    <w:rsid w:val="369362F6"/>
    <w:rsid w:val="36A1592A"/>
    <w:rsid w:val="36A9D1C1"/>
    <w:rsid w:val="36AA6A20"/>
    <w:rsid w:val="36C53707"/>
    <w:rsid w:val="36EFCA0F"/>
    <w:rsid w:val="3707D427"/>
    <w:rsid w:val="370A1FA7"/>
    <w:rsid w:val="3731FAF9"/>
    <w:rsid w:val="379E68A4"/>
    <w:rsid w:val="37B41E72"/>
    <w:rsid w:val="37EE0AC4"/>
    <w:rsid w:val="38036971"/>
    <w:rsid w:val="383067E6"/>
    <w:rsid w:val="3830813A"/>
    <w:rsid w:val="383E8C47"/>
    <w:rsid w:val="3850BCA2"/>
    <w:rsid w:val="387C4FB6"/>
    <w:rsid w:val="3890A5C2"/>
    <w:rsid w:val="389A022B"/>
    <w:rsid w:val="38ADD46D"/>
    <w:rsid w:val="38DAE609"/>
    <w:rsid w:val="38EE3B28"/>
    <w:rsid w:val="39007528"/>
    <w:rsid w:val="391E8B86"/>
    <w:rsid w:val="392DAC0D"/>
    <w:rsid w:val="39912DD7"/>
    <w:rsid w:val="399B27B2"/>
    <w:rsid w:val="399C3DBB"/>
    <w:rsid w:val="39A8456B"/>
    <w:rsid w:val="39AF6AEC"/>
    <w:rsid w:val="39B7BDDF"/>
    <w:rsid w:val="39BA75D7"/>
    <w:rsid w:val="39C895CB"/>
    <w:rsid w:val="39D047D8"/>
    <w:rsid w:val="39F1AA39"/>
    <w:rsid w:val="39F81D1B"/>
    <w:rsid w:val="3A549E41"/>
    <w:rsid w:val="3A70D2D8"/>
    <w:rsid w:val="3A7C333B"/>
    <w:rsid w:val="3AB78FB7"/>
    <w:rsid w:val="3AE05E37"/>
    <w:rsid w:val="3B26AF71"/>
    <w:rsid w:val="3B290C74"/>
    <w:rsid w:val="3B3300D8"/>
    <w:rsid w:val="3B3DEF95"/>
    <w:rsid w:val="3B429196"/>
    <w:rsid w:val="3B4553C6"/>
    <w:rsid w:val="3B45E095"/>
    <w:rsid w:val="3B6E106A"/>
    <w:rsid w:val="3B824D2F"/>
    <w:rsid w:val="3BAF2A1A"/>
    <w:rsid w:val="3BC99A9A"/>
    <w:rsid w:val="3BCE242F"/>
    <w:rsid w:val="3BD6BAB6"/>
    <w:rsid w:val="3BE72F65"/>
    <w:rsid w:val="3C18039C"/>
    <w:rsid w:val="3C2D398F"/>
    <w:rsid w:val="3C306738"/>
    <w:rsid w:val="3C3365BD"/>
    <w:rsid w:val="3C4FD23F"/>
    <w:rsid w:val="3C59DAB2"/>
    <w:rsid w:val="3C5FF45A"/>
    <w:rsid w:val="3C6BF76C"/>
    <w:rsid w:val="3C860C45"/>
    <w:rsid w:val="3C937AC5"/>
    <w:rsid w:val="3C9BF52A"/>
    <w:rsid w:val="3CA383F7"/>
    <w:rsid w:val="3CA6FA30"/>
    <w:rsid w:val="3CB1879E"/>
    <w:rsid w:val="3CC4164E"/>
    <w:rsid w:val="3D2AD5FB"/>
    <w:rsid w:val="3D43A75C"/>
    <w:rsid w:val="3D4E32EA"/>
    <w:rsid w:val="3D868D7F"/>
    <w:rsid w:val="3DB70EF8"/>
    <w:rsid w:val="3DC2E4CB"/>
    <w:rsid w:val="3DC89E71"/>
    <w:rsid w:val="3DCBC708"/>
    <w:rsid w:val="3DF339A6"/>
    <w:rsid w:val="3DFB6C05"/>
    <w:rsid w:val="3E106C03"/>
    <w:rsid w:val="3E18BB87"/>
    <w:rsid w:val="3E38EDD6"/>
    <w:rsid w:val="3E3BF0DB"/>
    <w:rsid w:val="3E45DC25"/>
    <w:rsid w:val="3E524C70"/>
    <w:rsid w:val="3E5FE6AF"/>
    <w:rsid w:val="3E7D0D7C"/>
    <w:rsid w:val="3E8DABF5"/>
    <w:rsid w:val="3E95710C"/>
    <w:rsid w:val="3EA6935B"/>
    <w:rsid w:val="3EB46900"/>
    <w:rsid w:val="3EF3E137"/>
    <w:rsid w:val="3F3CF5F0"/>
    <w:rsid w:val="3F60F1E9"/>
    <w:rsid w:val="3FAA10FB"/>
    <w:rsid w:val="3FAAA00A"/>
    <w:rsid w:val="3FB630F2"/>
    <w:rsid w:val="3FC234B2"/>
    <w:rsid w:val="3FC6F085"/>
    <w:rsid w:val="3FCC8472"/>
    <w:rsid w:val="3FCE43C7"/>
    <w:rsid w:val="3FD507BA"/>
    <w:rsid w:val="3FEB77E2"/>
    <w:rsid w:val="3FF9267A"/>
    <w:rsid w:val="4036A041"/>
    <w:rsid w:val="4045DA61"/>
    <w:rsid w:val="4053E78F"/>
    <w:rsid w:val="40641DBB"/>
    <w:rsid w:val="406D6CA0"/>
    <w:rsid w:val="40934FDD"/>
    <w:rsid w:val="409711C7"/>
    <w:rsid w:val="40B0E61B"/>
    <w:rsid w:val="40BC4E0B"/>
    <w:rsid w:val="40BCB234"/>
    <w:rsid w:val="40E18B38"/>
    <w:rsid w:val="41111BF1"/>
    <w:rsid w:val="4112059B"/>
    <w:rsid w:val="4117166D"/>
    <w:rsid w:val="4118361E"/>
    <w:rsid w:val="414E8FD3"/>
    <w:rsid w:val="41510817"/>
    <w:rsid w:val="41959506"/>
    <w:rsid w:val="41E22726"/>
    <w:rsid w:val="41E65D8E"/>
    <w:rsid w:val="421DB164"/>
    <w:rsid w:val="4240162C"/>
    <w:rsid w:val="424A3959"/>
    <w:rsid w:val="42501B24"/>
    <w:rsid w:val="427157BE"/>
    <w:rsid w:val="42874520"/>
    <w:rsid w:val="42B7F30C"/>
    <w:rsid w:val="42C07116"/>
    <w:rsid w:val="42C6A48E"/>
    <w:rsid w:val="42E085BD"/>
    <w:rsid w:val="42F5AEEA"/>
    <w:rsid w:val="43074C68"/>
    <w:rsid w:val="430DC1A8"/>
    <w:rsid w:val="432A400E"/>
    <w:rsid w:val="43446468"/>
    <w:rsid w:val="43494A70"/>
    <w:rsid w:val="4353B068"/>
    <w:rsid w:val="436EAEE7"/>
    <w:rsid w:val="4374C15A"/>
    <w:rsid w:val="437A047E"/>
    <w:rsid w:val="4391D735"/>
    <w:rsid w:val="43A090D5"/>
    <w:rsid w:val="43B088DD"/>
    <w:rsid w:val="43B0E2A6"/>
    <w:rsid w:val="43B3B428"/>
    <w:rsid w:val="43D32D88"/>
    <w:rsid w:val="43D4FF0C"/>
    <w:rsid w:val="43EA940C"/>
    <w:rsid w:val="44021021"/>
    <w:rsid w:val="440E1208"/>
    <w:rsid w:val="44231581"/>
    <w:rsid w:val="445D7DD6"/>
    <w:rsid w:val="446247F7"/>
    <w:rsid w:val="446598DC"/>
    <w:rsid w:val="44ABB9E8"/>
    <w:rsid w:val="44C3683A"/>
    <w:rsid w:val="44D9667E"/>
    <w:rsid w:val="44E07860"/>
    <w:rsid w:val="44EBE215"/>
    <w:rsid w:val="457D3E11"/>
    <w:rsid w:val="45B48DA9"/>
    <w:rsid w:val="45DEA28E"/>
    <w:rsid w:val="45F0EC06"/>
    <w:rsid w:val="460E963F"/>
    <w:rsid w:val="46165EE7"/>
    <w:rsid w:val="4623E9DD"/>
    <w:rsid w:val="463819C9"/>
    <w:rsid w:val="468932A0"/>
    <w:rsid w:val="46B1A540"/>
    <w:rsid w:val="46B30C3D"/>
    <w:rsid w:val="46D33E25"/>
    <w:rsid w:val="46D8C2E2"/>
    <w:rsid w:val="4703523C"/>
    <w:rsid w:val="4713874F"/>
    <w:rsid w:val="4713DD8A"/>
    <w:rsid w:val="473D8DEE"/>
    <w:rsid w:val="474EE051"/>
    <w:rsid w:val="47578734"/>
    <w:rsid w:val="476454C7"/>
    <w:rsid w:val="478071CA"/>
    <w:rsid w:val="4780D7EB"/>
    <w:rsid w:val="47CE711C"/>
    <w:rsid w:val="47D7A1C7"/>
    <w:rsid w:val="47E49617"/>
    <w:rsid w:val="48220AE7"/>
    <w:rsid w:val="483061D0"/>
    <w:rsid w:val="48521BB4"/>
    <w:rsid w:val="488C6529"/>
    <w:rsid w:val="48B97ADD"/>
    <w:rsid w:val="48D0C4E0"/>
    <w:rsid w:val="48D4B2B8"/>
    <w:rsid w:val="48D97605"/>
    <w:rsid w:val="48DEFD27"/>
    <w:rsid w:val="491C3DC8"/>
    <w:rsid w:val="4928D91D"/>
    <w:rsid w:val="494E62B0"/>
    <w:rsid w:val="49729F4F"/>
    <w:rsid w:val="498C27ED"/>
    <w:rsid w:val="49A15832"/>
    <w:rsid w:val="49BB2451"/>
    <w:rsid w:val="49C25276"/>
    <w:rsid w:val="49F13388"/>
    <w:rsid w:val="49F4012A"/>
    <w:rsid w:val="4A0D2A43"/>
    <w:rsid w:val="4A1E79EF"/>
    <w:rsid w:val="4A21595E"/>
    <w:rsid w:val="4A46213F"/>
    <w:rsid w:val="4A4D0761"/>
    <w:rsid w:val="4A554B3E"/>
    <w:rsid w:val="4A739DD0"/>
    <w:rsid w:val="4A983719"/>
    <w:rsid w:val="4AC3CC49"/>
    <w:rsid w:val="4ADD58EB"/>
    <w:rsid w:val="4AE42A0C"/>
    <w:rsid w:val="4AEB5712"/>
    <w:rsid w:val="4AFD2E96"/>
    <w:rsid w:val="4B1D5F7F"/>
    <w:rsid w:val="4B3F909D"/>
    <w:rsid w:val="4B5A1D1B"/>
    <w:rsid w:val="4B5ED364"/>
    <w:rsid w:val="4B8D03E9"/>
    <w:rsid w:val="4B969A36"/>
    <w:rsid w:val="4BC4A3D3"/>
    <w:rsid w:val="4BCE9906"/>
    <w:rsid w:val="4BD3F2E2"/>
    <w:rsid w:val="4BDC1450"/>
    <w:rsid w:val="4BE0D228"/>
    <w:rsid w:val="4BE952DF"/>
    <w:rsid w:val="4BFF5406"/>
    <w:rsid w:val="4C2930BE"/>
    <w:rsid w:val="4C37FFDE"/>
    <w:rsid w:val="4C38F1F8"/>
    <w:rsid w:val="4C3916F6"/>
    <w:rsid w:val="4C41982C"/>
    <w:rsid w:val="4C4E2221"/>
    <w:rsid w:val="4C54B428"/>
    <w:rsid w:val="4C61AC6B"/>
    <w:rsid w:val="4C9A4FF7"/>
    <w:rsid w:val="4CAD8CB4"/>
    <w:rsid w:val="4CB20B34"/>
    <w:rsid w:val="4CBD5BBA"/>
    <w:rsid w:val="4CCFC621"/>
    <w:rsid w:val="4CDD2959"/>
    <w:rsid w:val="4D37147C"/>
    <w:rsid w:val="4D99A2FA"/>
    <w:rsid w:val="4DD1B7FA"/>
    <w:rsid w:val="4DDA135E"/>
    <w:rsid w:val="4DE17D1E"/>
    <w:rsid w:val="4DF06896"/>
    <w:rsid w:val="4DFEE6F5"/>
    <w:rsid w:val="4E034FD0"/>
    <w:rsid w:val="4E5CE21C"/>
    <w:rsid w:val="4E75910A"/>
    <w:rsid w:val="4EA5C33C"/>
    <w:rsid w:val="4EA7132C"/>
    <w:rsid w:val="4EB09EDC"/>
    <w:rsid w:val="4EB3FF2D"/>
    <w:rsid w:val="4ED2B854"/>
    <w:rsid w:val="4F077E2E"/>
    <w:rsid w:val="4F1C4FB1"/>
    <w:rsid w:val="4F2874C5"/>
    <w:rsid w:val="4F3130B3"/>
    <w:rsid w:val="4FABFCBC"/>
    <w:rsid w:val="4FEC9B81"/>
    <w:rsid w:val="4FF25F38"/>
    <w:rsid w:val="4FF975B1"/>
    <w:rsid w:val="5010740E"/>
    <w:rsid w:val="501C6FFE"/>
    <w:rsid w:val="5035B331"/>
    <w:rsid w:val="504FDED6"/>
    <w:rsid w:val="5077E7E6"/>
    <w:rsid w:val="508764F4"/>
    <w:rsid w:val="50891C80"/>
    <w:rsid w:val="50B998C5"/>
    <w:rsid w:val="50C1FA9C"/>
    <w:rsid w:val="5111B420"/>
    <w:rsid w:val="513B29F8"/>
    <w:rsid w:val="5147CD1D"/>
    <w:rsid w:val="5199D819"/>
    <w:rsid w:val="51C24B32"/>
    <w:rsid w:val="51C97330"/>
    <w:rsid w:val="51D890C0"/>
    <w:rsid w:val="51F8654B"/>
    <w:rsid w:val="5211898A"/>
    <w:rsid w:val="52402C08"/>
    <w:rsid w:val="5242A6C5"/>
    <w:rsid w:val="52650AEA"/>
    <w:rsid w:val="5283246B"/>
    <w:rsid w:val="52A8FDDF"/>
    <w:rsid w:val="52D0B8F5"/>
    <w:rsid w:val="52DF8AD1"/>
    <w:rsid w:val="53395FA9"/>
    <w:rsid w:val="533D19B2"/>
    <w:rsid w:val="535C324C"/>
    <w:rsid w:val="538D77AE"/>
    <w:rsid w:val="53918CE2"/>
    <w:rsid w:val="53B5E569"/>
    <w:rsid w:val="53BC0759"/>
    <w:rsid w:val="53F14311"/>
    <w:rsid w:val="5427877F"/>
    <w:rsid w:val="542AA6E6"/>
    <w:rsid w:val="54526F8C"/>
    <w:rsid w:val="5456246B"/>
    <w:rsid w:val="54704993"/>
    <w:rsid w:val="54A8952D"/>
    <w:rsid w:val="54E77AD5"/>
    <w:rsid w:val="54ED3D76"/>
    <w:rsid w:val="551F48E4"/>
    <w:rsid w:val="552AAAFB"/>
    <w:rsid w:val="5533E62F"/>
    <w:rsid w:val="5541AB32"/>
    <w:rsid w:val="558139E1"/>
    <w:rsid w:val="55874D26"/>
    <w:rsid w:val="55908CF7"/>
    <w:rsid w:val="559D3E6D"/>
    <w:rsid w:val="55B519F5"/>
    <w:rsid w:val="55B5BA33"/>
    <w:rsid w:val="55F1A8B7"/>
    <w:rsid w:val="5613BEA7"/>
    <w:rsid w:val="565C1837"/>
    <w:rsid w:val="566CC237"/>
    <w:rsid w:val="568182F4"/>
    <w:rsid w:val="56AFA442"/>
    <w:rsid w:val="56BF0C2C"/>
    <w:rsid w:val="56FCD15A"/>
    <w:rsid w:val="56FF16B8"/>
    <w:rsid w:val="570BF13B"/>
    <w:rsid w:val="571C6ED2"/>
    <w:rsid w:val="572B286A"/>
    <w:rsid w:val="573EE6B3"/>
    <w:rsid w:val="57765BED"/>
    <w:rsid w:val="57818A08"/>
    <w:rsid w:val="5789DC17"/>
    <w:rsid w:val="578A16B5"/>
    <w:rsid w:val="57A80E21"/>
    <w:rsid w:val="57C2CA0F"/>
    <w:rsid w:val="57C4910D"/>
    <w:rsid w:val="57C7C3E9"/>
    <w:rsid w:val="58019536"/>
    <w:rsid w:val="581C2569"/>
    <w:rsid w:val="582794D4"/>
    <w:rsid w:val="582F8BCC"/>
    <w:rsid w:val="5866DBEE"/>
    <w:rsid w:val="586878CA"/>
    <w:rsid w:val="586CEE93"/>
    <w:rsid w:val="587C58CC"/>
    <w:rsid w:val="587CD642"/>
    <w:rsid w:val="58896C47"/>
    <w:rsid w:val="589B1F36"/>
    <w:rsid w:val="58A34281"/>
    <w:rsid w:val="58B89D46"/>
    <w:rsid w:val="58C1DD5F"/>
    <w:rsid w:val="58C1E7DE"/>
    <w:rsid w:val="58E51292"/>
    <w:rsid w:val="58FEAA92"/>
    <w:rsid w:val="590A7C7C"/>
    <w:rsid w:val="593996C2"/>
    <w:rsid w:val="593CD87B"/>
    <w:rsid w:val="593F4F2F"/>
    <w:rsid w:val="59409B95"/>
    <w:rsid w:val="5940F5AF"/>
    <w:rsid w:val="5949B3B7"/>
    <w:rsid w:val="596B7C71"/>
    <w:rsid w:val="5979AA06"/>
    <w:rsid w:val="5980FEE0"/>
    <w:rsid w:val="59A2312F"/>
    <w:rsid w:val="59A8DA3E"/>
    <w:rsid w:val="59AA01A9"/>
    <w:rsid w:val="59CDF7E9"/>
    <w:rsid w:val="59D8C1D9"/>
    <w:rsid w:val="5A0D8A95"/>
    <w:rsid w:val="5A4CE91B"/>
    <w:rsid w:val="5A5D9AE1"/>
    <w:rsid w:val="5A643258"/>
    <w:rsid w:val="5A8D514A"/>
    <w:rsid w:val="5AE7A60D"/>
    <w:rsid w:val="5B022BA8"/>
    <w:rsid w:val="5B1BAA90"/>
    <w:rsid w:val="5B27E243"/>
    <w:rsid w:val="5B4BB10E"/>
    <w:rsid w:val="5B50BB0E"/>
    <w:rsid w:val="5B9252B4"/>
    <w:rsid w:val="5BA6CB5E"/>
    <w:rsid w:val="5C0486E2"/>
    <w:rsid w:val="5C1E9585"/>
    <w:rsid w:val="5C275BC1"/>
    <w:rsid w:val="5C37D171"/>
    <w:rsid w:val="5C68708C"/>
    <w:rsid w:val="5CB91D84"/>
    <w:rsid w:val="5CF175B9"/>
    <w:rsid w:val="5CF4B156"/>
    <w:rsid w:val="5CF5E6E2"/>
    <w:rsid w:val="5D19EEF4"/>
    <w:rsid w:val="5D272E31"/>
    <w:rsid w:val="5D3EF814"/>
    <w:rsid w:val="5D467B4E"/>
    <w:rsid w:val="5D59A91A"/>
    <w:rsid w:val="5D5D9276"/>
    <w:rsid w:val="5D69A593"/>
    <w:rsid w:val="5D74F300"/>
    <w:rsid w:val="5D98B65E"/>
    <w:rsid w:val="5DA259D1"/>
    <w:rsid w:val="5DA6E033"/>
    <w:rsid w:val="5DA9C63C"/>
    <w:rsid w:val="5DAC75A4"/>
    <w:rsid w:val="5DB32F70"/>
    <w:rsid w:val="5DC25BB8"/>
    <w:rsid w:val="5DE97D42"/>
    <w:rsid w:val="5E104887"/>
    <w:rsid w:val="5E2FF995"/>
    <w:rsid w:val="5E43483B"/>
    <w:rsid w:val="5E465F47"/>
    <w:rsid w:val="5E5C7098"/>
    <w:rsid w:val="5E6E85F5"/>
    <w:rsid w:val="5E738733"/>
    <w:rsid w:val="5E885BD0"/>
    <w:rsid w:val="5E8ECFB7"/>
    <w:rsid w:val="5E92C296"/>
    <w:rsid w:val="5EAD5A9A"/>
    <w:rsid w:val="5EB700C5"/>
    <w:rsid w:val="5ED0ED99"/>
    <w:rsid w:val="5F047E06"/>
    <w:rsid w:val="5F0A8F41"/>
    <w:rsid w:val="5F101932"/>
    <w:rsid w:val="5F124C45"/>
    <w:rsid w:val="5F425156"/>
    <w:rsid w:val="5F9DF718"/>
    <w:rsid w:val="5FABF687"/>
    <w:rsid w:val="5FB33410"/>
    <w:rsid w:val="5FDBC9B7"/>
    <w:rsid w:val="5FE6EE82"/>
    <w:rsid w:val="5FF183D8"/>
    <w:rsid w:val="6008B037"/>
    <w:rsid w:val="603396BE"/>
    <w:rsid w:val="60600B5C"/>
    <w:rsid w:val="607A67F3"/>
    <w:rsid w:val="607A9222"/>
    <w:rsid w:val="6082AF90"/>
    <w:rsid w:val="608C17BD"/>
    <w:rsid w:val="60979534"/>
    <w:rsid w:val="60A0F709"/>
    <w:rsid w:val="60A8DDB3"/>
    <w:rsid w:val="61063836"/>
    <w:rsid w:val="610A0199"/>
    <w:rsid w:val="610A01D1"/>
    <w:rsid w:val="6123FAB8"/>
    <w:rsid w:val="615AC9B9"/>
    <w:rsid w:val="6174801C"/>
    <w:rsid w:val="6189F4FC"/>
    <w:rsid w:val="618E9E5A"/>
    <w:rsid w:val="61917766"/>
    <w:rsid w:val="619865E5"/>
    <w:rsid w:val="61AF6704"/>
    <w:rsid w:val="61D7BE49"/>
    <w:rsid w:val="61E19E88"/>
    <w:rsid w:val="61E545B1"/>
    <w:rsid w:val="621B9ADD"/>
    <w:rsid w:val="6238357C"/>
    <w:rsid w:val="62578AE9"/>
    <w:rsid w:val="6278378F"/>
    <w:rsid w:val="628101F1"/>
    <w:rsid w:val="62816727"/>
    <w:rsid w:val="62823A55"/>
    <w:rsid w:val="62D0C0BF"/>
    <w:rsid w:val="62F69A1A"/>
    <w:rsid w:val="6301AECE"/>
    <w:rsid w:val="6306A884"/>
    <w:rsid w:val="63072003"/>
    <w:rsid w:val="631B95F9"/>
    <w:rsid w:val="632974CA"/>
    <w:rsid w:val="632A6EBB"/>
    <w:rsid w:val="63386E40"/>
    <w:rsid w:val="6338D4C1"/>
    <w:rsid w:val="633C0D5C"/>
    <w:rsid w:val="635204EC"/>
    <w:rsid w:val="6355D221"/>
    <w:rsid w:val="635A4F24"/>
    <w:rsid w:val="63775BD3"/>
    <w:rsid w:val="63A51452"/>
    <w:rsid w:val="63B7CE35"/>
    <w:rsid w:val="63E36363"/>
    <w:rsid w:val="63E3CA77"/>
    <w:rsid w:val="63EBD968"/>
    <w:rsid w:val="63FD1BCB"/>
    <w:rsid w:val="64086B75"/>
    <w:rsid w:val="6419C5D4"/>
    <w:rsid w:val="6421043D"/>
    <w:rsid w:val="6432DD42"/>
    <w:rsid w:val="64386F77"/>
    <w:rsid w:val="643ACC1C"/>
    <w:rsid w:val="64681CF3"/>
    <w:rsid w:val="6482ED75"/>
    <w:rsid w:val="64CA8A44"/>
    <w:rsid w:val="64DC1F3A"/>
    <w:rsid w:val="64E16F11"/>
    <w:rsid w:val="6502E3DE"/>
    <w:rsid w:val="65063A1D"/>
    <w:rsid w:val="652CFE61"/>
    <w:rsid w:val="653A1342"/>
    <w:rsid w:val="660C1D2A"/>
    <w:rsid w:val="66145C01"/>
    <w:rsid w:val="66272478"/>
    <w:rsid w:val="66392B3E"/>
    <w:rsid w:val="6643F332"/>
    <w:rsid w:val="664E5A20"/>
    <w:rsid w:val="664F0749"/>
    <w:rsid w:val="665A2B16"/>
    <w:rsid w:val="665E519B"/>
    <w:rsid w:val="6670E0A2"/>
    <w:rsid w:val="6676751B"/>
    <w:rsid w:val="668E085F"/>
    <w:rsid w:val="6690F3A3"/>
    <w:rsid w:val="669B92CC"/>
    <w:rsid w:val="66B0BE9B"/>
    <w:rsid w:val="66BD0532"/>
    <w:rsid w:val="66CE3016"/>
    <w:rsid w:val="66F78A17"/>
    <w:rsid w:val="66F951D2"/>
    <w:rsid w:val="6700B212"/>
    <w:rsid w:val="67011827"/>
    <w:rsid w:val="67083306"/>
    <w:rsid w:val="67258C38"/>
    <w:rsid w:val="672EB6F9"/>
    <w:rsid w:val="67441D92"/>
    <w:rsid w:val="674DEEDF"/>
    <w:rsid w:val="6762A23B"/>
    <w:rsid w:val="678E97F7"/>
    <w:rsid w:val="67A5AC52"/>
    <w:rsid w:val="67BC5965"/>
    <w:rsid w:val="67C074F0"/>
    <w:rsid w:val="67C8D10D"/>
    <w:rsid w:val="67CCE6F6"/>
    <w:rsid w:val="67EA2A81"/>
    <w:rsid w:val="681DF70E"/>
    <w:rsid w:val="6829A8F2"/>
    <w:rsid w:val="689DAFF5"/>
    <w:rsid w:val="68D08CEE"/>
    <w:rsid w:val="690450EC"/>
    <w:rsid w:val="6932CF35"/>
    <w:rsid w:val="694BF943"/>
    <w:rsid w:val="694FEBC9"/>
    <w:rsid w:val="69507B93"/>
    <w:rsid w:val="697D8446"/>
    <w:rsid w:val="69B2DD28"/>
    <w:rsid w:val="69B330D4"/>
    <w:rsid w:val="69C81B14"/>
    <w:rsid w:val="69CDEED0"/>
    <w:rsid w:val="6A09B7F4"/>
    <w:rsid w:val="6A0BF3DB"/>
    <w:rsid w:val="6A127BD7"/>
    <w:rsid w:val="6AA6BA3C"/>
    <w:rsid w:val="6AAAAEAF"/>
    <w:rsid w:val="6AD6EB06"/>
    <w:rsid w:val="6ADD7088"/>
    <w:rsid w:val="6B0EB695"/>
    <w:rsid w:val="6B29D18A"/>
    <w:rsid w:val="6BAB3E44"/>
    <w:rsid w:val="6BB3BF3B"/>
    <w:rsid w:val="6BBFC452"/>
    <w:rsid w:val="6BC1ED7B"/>
    <w:rsid w:val="6C012E0A"/>
    <w:rsid w:val="6C060635"/>
    <w:rsid w:val="6C1027C5"/>
    <w:rsid w:val="6C5875BE"/>
    <w:rsid w:val="6C599213"/>
    <w:rsid w:val="6C731549"/>
    <w:rsid w:val="6C9D489F"/>
    <w:rsid w:val="6CB58F5D"/>
    <w:rsid w:val="6CBD9BA4"/>
    <w:rsid w:val="6CD86F99"/>
    <w:rsid w:val="6CF9B2F2"/>
    <w:rsid w:val="6CF9DC62"/>
    <w:rsid w:val="6D00B6FB"/>
    <w:rsid w:val="6D138667"/>
    <w:rsid w:val="6D2D8796"/>
    <w:rsid w:val="6D3B176B"/>
    <w:rsid w:val="6D576F4B"/>
    <w:rsid w:val="6D61B6D0"/>
    <w:rsid w:val="6D882E3A"/>
    <w:rsid w:val="6DA33559"/>
    <w:rsid w:val="6DA52E56"/>
    <w:rsid w:val="6DAC8ADD"/>
    <w:rsid w:val="6DB15E97"/>
    <w:rsid w:val="6DBC624F"/>
    <w:rsid w:val="6DC8F7F8"/>
    <w:rsid w:val="6DEC9E15"/>
    <w:rsid w:val="6DF96F0E"/>
    <w:rsid w:val="6DFB1ABE"/>
    <w:rsid w:val="6E11742F"/>
    <w:rsid w:val="6E29FD6D"/>
    <w:rsid w:val="6E2C3019"/>
    <w:rsid w:val="6E3B8E88"/>
    <w:rsid w:val="6E5629CE"/>
    <w:rsid w:val="6E596C05"/>
    <w:rsid w:val="6E661A70"/>
    <w:rsid w:val="6E74EBA6"/>
    <w:rsid w:val="6E919883"/>
    <w:rsid w:val="6EC2DA15"/>
    <w:rsid w:val="6ED2EE77"/>
    <w:rsid w:val="6EDA8306"/>
    <w:rsid w:val="6EE98717"/>
    <w:rsid w:val="6EF8C69D"/>
    <w:rsid w:val="6F0B91AE"/>
    <w:rsid w:val="6F2CD755"/>
    <w:rsid w:val="6F5934AF"/>
    <w:rsid w:val="6F6AC4BA"/>
    <w:rsid w:val="6F7DE79A"/>
    <w:rsid w:val="6F91D9B8"/>
    <w:rsid w:val="6F949BBE"/>
    <w:rsid w:val="6FBC71A3"/>
    <w:rsid w:val="6FC4C362"/>
    <w:rsid w:val="6FCB86D5"/>
    <w:rsid w:val="6FCD26C6"/>
    <w:rsid w:val="6FE269D4"/>
    <w:rsid w:val="6FFDB39D"/>
    <w:rsid w:val="700628CC"/>
    <w:rsid w:val="7010E688"/>
    <w:rsid w:val="7016762E"/>
    <w:rsid w:val="70233315"/>
    <w:rsid w:val="705A515B"/>
    <w:rsid w:val="709A5BBC"/>
    <w:rsid w:val="70B738FB"/>
    <w:rsid w:val="70D9A3FD"/>
    <w:rsid w:val="70F4189F"/>
    <w:rsid w:val="70F965EF"/>
    <w:rsid w:val="70FA4F1D"/>
    <w:rsid w:val="711D757A"/>
    <w:rsid w:val="713AC30F"/>
    <w:rsid w:val="713BD139"/>
    <w:rsid w:val="71449743"/>
    <w:rsid w:val="71671509"/>
    <w:rsid w:val="716FB854"/>
    <w:rsid w:val="717C4FF1"/>
    <w:rsid w:val="718D9592"/>
    <w:rsid w:val="71910CC7"/>
    <w:rsid w:val="71924C55"/>
    <w:rsid w:val="719FC8B0"/>
    <w:rsid w:val="71A7387A"/>
    <w:rsid w:val="71B8AAC2"/>
    <w:rsid w:val="71C93945"/>
    <w:rsid w:val="71D214C1"/>
    <w:rsid w:val="71D61CA8"/>
    <w:rsid w:val="71DE10A6"/>
    <w:rsid w:val="71F60E8E"/>
    <w:rsid w:val="7200E8C1"/>
    <w:rsid w:val="7232817E"/>
    <w:rsid w:val="72403507"/>
    <w:rsid w:val="724D840A"/>
    <w:rsid w:val="725D2AFF"/>
    <w:rsid w:val="7277E45E"/>
    <w:rsid w:val="7299EEBF"/>
    <w:rsid w:val="72D86B4F"/>
    <w:rsid w:val="7304E67E"/>
    <w:rsid w:val="7306A389"/>
    <w:rsid w:val="730FFFA8"/>
    <w:rsid w:val="7318FD75"/>
    <w:rsid w:val="732A42DA"/>
    <w:rsid w:val="737F0D4B"/>
    <w:rsid w:val="7380F0F9"/>
    <w:rsid w:val="7390AABA"/>
    <w:rsid w:val="73DB7BBD"/>
    <w:rsid w:val="73F433DE"/>
    <w:rsid w:val="7424A9FC"/>
    <w:rsid w:val="746D2C75"/>
    <w:rsid w:val="74B07BCB"/>
    <w:rsid w:val="74C27B4B"/>
    <w:rsid w:val="74C2F571"/>
    <w:rsid w:val="74C5DD04"/>
    <w:rsid w:val="7511FB85"/>
    <w:rsid w:val="753376AE"/>
    <w:rsid w:val="754C0874"/>
    <w:rsid w:val="75531C54"/>
    <w:rsid w:val="755781B8"/>
    <w:rsid w:val="756704E0"/>
    <w:rsid w:val="75941415"/>
    <w:rsid w:val="75F7CDFC"/>
    <w:rsid w:val="7607E8B4"/>
    <w:rsid w:val="76254F77"/>
    <w:rsid w:val="763E1C00"/>
    <w:rsid w:val="764F64D5"/>
    <w:rsid w:val="76709DE6"/>
    <w:rsid w:val="76CA66C8"/>
    <w:rsid w:val="76CD7D58"/>
    <w:rsid w:val="76DBCD6B"/>
    <w:rsid w:val="76E7B27B"/>
    <w:rsid w:val="7713A74C"/>
    <w:rsid w:val="7716D152"/>
    <w:rsid w:val="773F5566"/>
    <w:rsid w:val="776C4829"/>
    <w:rsid w:val="77787C0C"/>
    <w:rsid w:val="77997E26"/>
    <w:rsid w:val="77A20A22"/>
    <w:rsid w:val="77AEB935"/>
    <w:rsid w:val="77B0A59C"/>
    <w:rsid w:val="77C3096F"/>
    <w:rsid w:val="77D359A7"/>
    <w:rsid w:val="78107834"/>
    <w:rsid w:val="781DF277"/>
    <w:rsid w:val="78202902"/>
    <w:rsid w:val="782D29F7"/>
    <w:rsid w:val="782DFFEB"/>
    <w:rsid w:val="7835A7EC"/>
    <w:rsid w:val="7839F835"/>
    <w:rsid w:val="783C24CC"/>
    <w:rsid w:val="7884B5A1"/>
    <w:rsid w:val="78979932"/>
    <w:rsid w:val="78A575E4"/>
    <w:rsid w:val="78B9E683"/>
    <w:rsid w:val="78D07EAF"/>
    <w:rsid w:val="78D93EED"/>
    <w:rsid w:val="78EEE932"/>
    <w:rsid w:val="78F46D85"/>
    <w:rsid w:val="79392437"/>
    <w:rsid w:val="7948F3F9"/>
    <w:rsid w:val="795216C7"/>
    <w:rsid w:val="7969F6DA"/>
    <w:rsid w:val="796AB24C"/>
    <w:rsid w:val="79886A4A"/>
    <w:rsid w:val="798B4288"/>
    <w:rsid w:val="799C1EAC"/>
    <w:rsid w:val="79C47BD2"/>
    <w:rsid w:val="79ED18A3"/>
    <w:rsid w:val="7A3375EA"/>
    <w:rsid w:val="7A3E8E41"/>
    <w:rsid w:val="7A88D3FD"/>
    <w:rsid w:val="7AB5C9C3"/>
    <w:rsid w:val="7AB60ED0"/>
    <w:rsid w:val="7ACB831A"/>
    <w:rsid w:val="7AEFEA28"/>
    <w:rsid w:val="7AF573F7"/>
    <w:rsid w:val="7AFCA1F4"/>
    <w:rsid w:val="7B0694F2"/>
    <w:rsid w:val="7B0881C1"/>
    <w:rsid w:val="7B27FCF5"/>
    <w:rsid w:val="7B3209FA"/>
    <w:rsid w:val="7B44B6F8"/>
    <w:rsid w:val="7B4C3F94"/>
    <w:rsid w:val="7B4D26C9"/>
    <w:rsid w:val="7B65A0AD"/>
    <w:rsid w:val="7B75173C"/>
    <w:rsid w:val="7B8203E4"/>
    <w:rsid w:val="7B831EB9"/>
    <w:rsid w:val="7B9E3E49"/>
    <w:rsid w:val="7BCC0C14"/>
    <w:rsid w:val="7BD638B0"/>
    <w:rsid w:val="7BE0CF9A"/>
    <w:rsid w:val="7BEA0B4B"/>
    <w:rsid w:val="7C3074F7"/>
    <w:rsid w:val="7C3A5662"/>
    <w:rsid w:val="7C424993"/>
    <w:rsid w:val="7C4A1C86"/>
    <w:rsid w:val="7C4FC87A"/>
    <w:rsid w:val="7C6E0C53"/>
    <w:rsid w:val="7C7092D8"/>
    <w:rsid w:val="7C91E515"/>
    <w:rsid w:val="7C94050C"/>
    <w:rsid w:val="7C9C8D87"/>
    <w:rsid w:val="7CA4768E"/>
    <w:rsid w:val="7CA8868B"/>
    <w:rsid w:val="7CB0E5C3"/>
    <w:rsid w:val="7CC7BCDD"/>
    <w:rsid w:val="7CE2B1CA"/>
    <w:rsid w:val="7CE49301"/>
    <w:rsid w:val="7CFF56A0"/>
    <w:rsid w:val="7D02F815"/>
    <w:rsid w:val="7D124B72"/>
    <w:rsid w:val="7D3A5E3A"/>
    <w:rsid w:val="7D488C41"/>
    <w:rsid w:val="7D4D5EAC"/>
    <w:rsid w:val="7D4D685D"/>
    <w:rsid w:val="7DB27E51"/>
    <w:rsid w:val="7DBF8FF1"/>
    <w:rsid w:val="7DD8B547"/>
    <w:rsid w:val="7DDA31CB"/>
    <w:rsid w:val="7DF0EE7D"/>
    <w:rsid w:val="7DF3DCD7"/>
    <w:rsid w:val="7E2DDB9E"/>
    <w:rsid w:val="7E365F9A"/>
    <w:rsid w:val="7E43F1DF"/>
    <w:rsid w:val="7E5AF28A"/>
    <w:rsid w:val="7E72E08F"/>
    <w:rsid w:val="7E7AEC8B"/>
    <w:rsid w:val="7E7C19BF"/>
    <w:rsid w:val="7E7C3C3F"/>
    <w:rsid w:val="7E8C3F00"/>
    <w:rsid w:val="7E9AB712"/>
    <w:rsid w:val="7EAC7F05"/>
    <w:rsid w:val="7EE2FC7F"/>
    <w:rsid w:val="7F3950D7"/>
    <w:rsid w:val="7F413BE6"/>
    <w:rsid w:val="7F51E0BC"/>
    <w:rsid w:val="7F529E3C"/>
    <w:rsid w:val="7F70B8E8"/>
    <w:rsid w:val="7F70EF30"/>
    <w:rsid w:val="7F76ECE6"/>
    <w:rsid w:val="7F7CFE34"/>
    <w:rsid w:val="7FC96472"/>
    <w:rsid w:val="7FE66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BB868"/>
  <w15:docId w15:val="{276E1C5B-AF0E-4D42-BB4A-79C03F48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3"/>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
      </w:numPr>
    </w:pPr>
  </w:style>
  <w:style w:type="paragraph" w:customStyle="1" w:styleId="Bulletpoints">
    <w:name w:val="Bullet points"/>
    <w:basedOn w:val="Normal"/>
    <w:link w:val="BulletpointsChar"/>
    <w:qFormat/>
    <w:rsid w:val="005570B5"/>
    <w:pPr>
      <w:numPr>
        <w:numId w:val="2"/>
      </w:numPr>
      <w:tabs>
        <w:tab w:val="left" w:pos="993"/>
      </w:tabs>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4"/>
      </w:numPr>
      <w:ind w:left="993" w:hanging="426"/>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paragraph" w:customStyle="1" w:styleId="Default">
    <w:name w:val="Default"/>
    <w:rsid w:val="001C391C"/>
    <w:pPr>
      <w:autoSpaceDE w:val="0"/>
      <w:autoSpaceDN w:val="0"/>
      <w:adjustRightInd w:val="0"/>
    </w:pPr>
    <w:rPr>
      <w:rFonts w:cs="Arial"/>
      <w:color w:val="000000"/>
      <w:sz w:val="24"/>
      <w:szCs w:val="24"/>
    </w:rPr>
  </w:style>
  <w:style w:type="character" w:customStyle="1" w:styleId="normaltextrun">
    <w:name w:val="normaltextrun"/>
    <w:basedOn w:val="DefaultParagraphFont"/>
    <w:rsid w:val="001E0FBA"/>
  </w:style>
  <w:style w:type="paragraph" w:customStyle="1" w:styleId="paragraph">
    <w:name w:val="paragraph"/>
    <w:basedOn w:val="Normal"/>
    <w:rsid w:val="00432099"/>
    <w:pPr>
      <w:spacing w:before="100" w:beforeAutospacing="1" w:after="100" w:afterAutospacing="1"/>
    </w:pPr>
    <w:rPr>
      <w:rFonts w:ascii="Times New Roman" w:hAnsi="Times New Roman"/>
      <w:color w:val="auto"/>
    </w:rPr>
  </w:style>
  <w:style w:type="character" w:customStyle="1" w:styleId="eop">
    <w:name w:val="eop"/>
    <w:basedOn w:val="DefaultParagraphFont"/>
    <w:rsid w:val="00432099"/>
  </w:style>
  <w:style w:type="character" w:customStyle="1" w:styleId="BalloonTextChar">
    <w:name w:val="Balloon Text Char"/>
    <w:basedOn w:val="DefaultParagraphFont"/>
    <w:link w:val="BalloonText"/>
    <w:uiPriority w:val="99"/>
    <w:semiHidden/>
    <w:rsid w:val="00A173D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182210730">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63673577">
      <w:bodyDiv w:val="1"/>
      <w:marLeft w:val="0"/>
      <w:marRight w:val="0"/>
      <w:marTop w:val="0"/>
      <w:marBottom w:val="0"/>
      <w:divBdr>
        <w:top w:val="none" w:sz="0" w:space="0" w:color="auto"/>
        <w:left w:val="none" w:sz="0" w:space="0" w:color="auto"/>
        <w:bottom w:val="none" w:sz="0" w:space="0" w:color="auto"/>
        <w:right w:val="none" w:sz="0" w:space="0" w:color="auto"/>
      </w:divBdr>
    </w:div>
    <w:div w:id="365257108">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413013665">
      <w:bodyDiv w:val="1"/>
      <w:marLeft w:val="0"/>
      <w:marRight w:val="0"/>
      <w:marTop w:val="0"/>
      <w:marBottom w:val="0"/>
      <w:divBdr>
        <w:top w:val="none" w:sz="0" w:space="0" w:color="auto"/>
        <w:left w:val="none" w:sz="0" w:space="0" w:color="auto"/>
        <w:bottom w:val="none" w:sz="0" w:space="0" w:color="auto"/>
        <w:right w:val="none" w:sz="0" w:space="0" w:color="auto"/>
      </w:divBdr>
    </w:div>
    <w:div w:id="442385168">
      <w:bodyDiv w:val="1"/>
      <w:marLeft w:val="0"/>
      <w:marRight w:val="0"/>
      <w:marTop w:val="0"/>
      <w:marBottom w:val="0"/>
      <w:divBdr>
        <w:top w:val="none" w:sz="0" w:space="0" w:color="auto"/>
        <w:left w:val="none" w:sz="0" w:space="0" w:color="auto"/>
        <w:bottom w:val="none" w:sz="0" w:space="0" w:color="auto"/>
        <w:right w:val="none" w:sz="0" w:space="0" w:color="auto"/>
      </w:divBdr>
    </w:div>
    <w:div w:id="450443758">
      <w:bodyDiv w:val="1"/>
      <w:marLeft w:val="0"/>
      <w:marRight w:val="0"/>
      <w:marTop w:val="0"/>
      <w:marBottom w:val="0"/>
      <w:divBdr>
        <w:top w:val="none" w:sz="0" w:space="0" w:color="auto"/>
        <w:left w:val="none" w:sz="0" w:space="0" w:color="auto"/>
        <w:bottom w:val="none" w:sz="0" w:space="0" w:color="auto"/>
        <w:right w:val="none" w:sz="0" w:space="0" w:color="auto"/>
      </w:divBdr>
    </w:div>
    <w:div w:id="561798489">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69638820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90394485">
      <w:bodyDiv w:val="1"/>
      <w:marLeft w:val="0"/>
      <w:marRight w:val="0"/>
      <w:marTop w:val="0"/>
      <w:marBottom w:val="0"/>
      <w:divBdr>
        <w:top w:val="none" w:sz="0" w:space="0" w:color="auto"/>
        <w:left w:val="none" w:sz="0" w:space="0" w:color="auto"/>
        <w:bottom w:val="none" w:sz="0" w:space="0" w:color="auto"/>
        <w:right w:val="none" w:sz="0" w:space="0" w:color="auto"/>
      </w:divBdr>
    </w:div>
    <w:div w:id="799569508">
      <w:bodyDiv w:val="1"/>
      <w:marLeft w:val="0"/>
      <w:marRight w:val="0"/>
      <w:marTop w:val="0"/>
      <w:marBottom w:val="0"/>
      <w:divBdr>
        <w:top w:val="none" w:sz="0" w:space="0" w:color="auto"/>
        <w:left w:val="none" w:sz="0" w:space="0" w:color="auto"/>
        <w:bottom w:val="none" w:sz="0" w:space="0" w:color="auto"/>
        <w:right w:val="none" w:sz="0" w:space="0" w:color="auto"/>
      </w:divBdr>
    </w:div>
    <w:div w:id="853111704">
      <w:bodyDiv w:val="1"/>
      <w:marLeft w:val="0"/>
      <w:marRight w:val="0"/>
      <w:marTop w:val="0"/>
      <w:marBottom w:val="0"/>
      <w:divBdr>
        <w:top w:val="none" w:sz="0" w:space="0" w:color="auto"/>
        <w:left w:val="none" w:sz="0" w:space="0" w:color="auto"/>
        <w:bottom w:val="none" w:sz="0" w:space="0" w:color="auto"/>
        <w:right w:val="none" w:sz="0" w:space="0" w:color="auto"/>
      </w:divBdr>
    </w:div>
    <w:div w:id="866799690">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24846979">
      <w:bodyDiv w:val="1"/>
      <w:marLeft w:val="0"/>
      <w:marRight w:val="0"/>
      <w:marTop w:val="0"/>
      <w:marBottom w:val="0"/>
      <w:divBdr>
        <w:top w:val="none" w:sz="0" w:space="0" w:color="auto"/>
        <w:left w:val="none" w:sz="0" w:space="0" w:color="auto"/>
        <w:bottom w:val="none" w:sz="0" w:space="0" w:color="auto"/>
        <w:right w:val="none" w:sz="0" w:space="0" w:color="auto"/>
      </w:divBdr>
    </w:div>
    <w:div w:id="994456819">
      <w:bodyDiv w:val="1"/>
      <w:marLeft w:val="0"/>
      <w:marRight w:val="0"/>
      <w:marTop w:val="0"/>
      <w:marBottom w:val="0"/>
      <w:divBdr>
        <w:top w:val="none" w:sz="0" w:space="0" w:color="auto"/>
        <w:left w:val="none" w:sz="0" w:space="0" w:color="auto"/>
        <w:bottom w:val="none" w:sz="0" w:space="0" w:color="auto"/>
        <w:right w:val="none" w:sz="0" w:space="0" w:color="auto"/>
      </w:divBdr>
    </w:div>
    <w:div w:id="1179346784">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28051888">
      <w:bodyDiv w:val="1"/>
      <w:marLeft w:val="0"/>
      <w:marRight w:val="0"/>
      <w:marTop w:val="0"/>
      <w:marBottom w:val="0"/>
      <w:divBdr>
        <w:top w:val="none" w:sz="0" w:space="0" w:color="auto"/>
        <w:left w:val="none" w:sz="0" w:space="0" w:color="auto"/>
        <w:bottom w:val="none" w:sz="0" w:space="0" w:color="auto"/>
        <w:right w:val="none" w:sz="0" w:space="0" w:color="auto"/>
      </w:divBdr>
      <w:divsChild>
        <w:div w:id="573784361">
          <w:marLeft w:val="0"/>
          <w:marRight w:val="0"/>
          <w:marTop w:val="0"/>
          <w:marBottom w:val="0"/>
          <w:divBdr>
            <w:top w:val="none" w:sz="0" w:space="0" w:color="auto"/>
            <w:left w:val="none" w:sz="0" w:space="0" w:color="auto"/>
            <w:bottom w:val="none" w:sz="0" w:space="0" w:color="auto"/>
            <w:right w:val="none" w:sz="0" w:space="0" w:color="auto"/>
          </w:divBdr>
        </w:div>
        <w:div w:id="985282539">
          <w:marLeft w:val="0"/>
          <w:marRight w:val="0"/>
          <w:marTop w:val="0"/>
          <w:marBottom w:val="0"/>
          <w:divBdr>
            <w:top w:val="none" w:sz="0" w:space="0" w:color="auto"/>
            <w:left w:val="none" w:sz="0" w:space="0" w:color="auto"/>
            <w:bottom w:val="none" w:sz="0" w:space="0" w:color="auto"/>
            <w:right w:val="none" w:sz="0" w:space="0" w:color="auto"/>
          </w:divBdr>
        </w:div>
        <w:div w:id="1418941897">
          <w:marLeft w:val="0"/>
          <w:marRight w:val="0"/>
          <w:marTop w:val="0"/>
          <w:marBottom w:val="0"/>
          <w:divBdr>
            <w:top w:val="none" w:sz="0" w:space="0" w:color="auto"/>
            <w:left w:val="none" w:sz="0" w:space="0" w:color="auto"/>
            <w:bottom w:val="none" w:sz="0" w:space="0" w:color="auto"/>
            <w:right w:val="none" w:sz="0" w:space="0" w:color="auto"/>
          </w:divBdr>
        </w:div>
      </w:divsChild>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371569778">
      <w:bodyDiv w:val="1"/>
      <w:marLeft w:val="0"/>
      <w:marRight w:val="0"/>
      <w:marTop w:val="0"/>
      <w:marBottom w:val="0"/>
      <w:divBdr>
        <w:top w:val="none" w:sz="0" w:space="0" w:color="auto"/>
        <w:left w:val="none" w:sz="0" w:space="0" w:color="auto"/>
        <w:bottom w:val="none" w:sz="0" w:space="0" w:color="auto"/>
        <w:right w:val="none" w:sz="0" w:space="0" w:color="auto"/>
      </w:divBdr>
    </w:div>
    <w:div w:id="1375959645">
      <w:bodyDiv w:val="1"/>
      <w:marLeft w:val="0"/>
      <w:marRight w:val="0"/>
      <w:marTop w:val="0"/>
      <w:marBottom w:val="0"/>
      <w:divBdr>
        <w:top w:val="none" w:sz="0" w:space="0" w:color="auto"/>
        <w:left w:val="none" w:sz="0" w:space="0" w:color="auto"/>
        <w:bottom w:val="none" w:sz="0" w:space="0" w:color="auto"/>
        <w:right w:val="none" w:sz="0" w:space="0" w:color="auto"/>
      </w:divBdr>
    </w:div>
    <w:div w:id="1411855910">
      <w:bodyDiv w:val="1"/>
      <w:marLeft w:val="0"/>
      <w:marRight w:val="0"/>
      <w:marTop w:val="0"/>
      <w:marBottom w:val="0"/>
      <w:divBdr>
        <w:top w:val="none" w:sz="0" w:space="0" w:color="auto"/>
        <w:left w:val="none" w:sz="0" w:space="0" w:color="auto"/>
        <w:bottom w:val="none" w:sz="0" w:space="0" w:color="auto"/>
        <w:right w:val="none" w:sz="0" w:space="0" w:color="auto"/>
      </w:divBdr>
    </w:div>
    <w:div w:id="1415083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535926174">
      <w:bodyDiv w:val="1"/>
      <w:marLeft w:val="0"/>
      <w:marRight w:val="0"/>
      <w:marTop w:val="0"/>
      <w:marBottom w:val="0"/>
      <w:divBdr>
        <w:top w:val="none" w:sz="0" w:space="0" w:color="auto"/>
        <w:left w:val="none" w:sz="0" w:space="0" w:color="auto"/>
        <w:bottom w:val="none" w:sz="0" w:space="0" w:color="auto"/>
        <w:right w:val="none" w:sz="0" w:space="0" w:color="auto"/>
      </w:divBdr>
    </w:div>
    <w:div w:id="1591618516">
      <w:bodyDiv w:val="1"/>
      <w:marLeft w:val="0"/>
      <w:marRight w:val="0"/>
      <w:marTop w:val="0"/>
      <w:marBottom w:val="0"/>
      <w:divBdr>
        <w:top w:val="none" w:sz="0" w:space="0" w:color="auto"/>
        <w:left w:val="none" w:sz="0" w:space="0" w:color="auto"/>
        <w:bottom w:val="none" w:sz="0" w:space="0" w:color="auto"/>
        <w:right w:val="none" w:sz="0" w:space="0" w:color="auto"/>
      </w:divBdr>
    </w:div>
    <w:div w:id="1756316533">
      <w:bodyDiv w:val="1"/>
      <w:marLeft w:val="0"/>
      <w:marRight w:val="0"/>
      <w:marTop w:val="0"/>
      <w:marBottom w:val="0"/>
      <w:divBdr>
        <w:top w:val="none" w:sz="0" w:space="0" w:color="auto"/>
        <w:left w:val="none" w:sz="0" w:space="0" w:color="auto"/>
        <w:bottom w:val="none" w:sz="0" w:space="0" w:color="auto"/>
        <w:right w:val="none" w:sz="0" w:space="0" w:color="auto"/>
      </w:divBdr>
    </w:div>
    <w:div w:id="1999963011">
      <w:bodyDiv w:val="1"/>
      <w:marLeft w:val="0"/>
      <w:marRight w:val="0"/>
      <w:marTop w:val="0"/>
      <w:marBottom w:val="0"/>
      <w:divBdr>
        <w:top w:val="none" w:sz="0" w:space="0" w:color="auto"/>
        <w:left w:val="none" w:sz="0" w:space="0" w:color="auto"/>
        <w:bottom w:val="none" w:sz="0" w:space="0" w:color="auto"/>
        <w:right w:val="none" w:sz="0" w:space="0" w:color="auto"/>
      </w:divBdr>
    </w:div>
    <w:div w:id="2091346518">
      <w:bodyDiv w:val="1"/>
      <w:marLeft w:val="0"/>
      <w:marRight w:val="0"/>
      <w:marTop w:val="0"/>
      <w:marBottom w:val="0"/>
      <w:divBdr>
        <w:top w:val="none" w:sz="0" w:space="0" w:color="auto"/>
        <w:left w:val="none" w:sz="0" w:space="0" w:color="auto"/>
        <w:bottom w:val="none" w:sz="0" w:space="0" w:color="auto"/>
        <w:right w:val="none" w:sz="0" w:space="0" w:color="auto"/>
      </w:divBdr>
    </w:div>
    <w:div w:id="2095203759">
      <w:bodyDiv w:val="1"/>
      <w:marLeft w:val="0"/>
      <w:marRight w:val="0"/>
      <w:marTop w:val="0"/>
      <w:marBottom w:val="0"/>
      <w:divBdr>
        <w:top w:val="none" w:sz="0" w:space="0" w:color="auto"/>
        <w:left w:val="none" w:sz="0" w:space="0" w:color="auto"/>
        <w:bottom w:val="none" w:sz="0" w:space="0" w:color="auto"/>
        <w:right w:val="none" w:sz="0" w:space="0" w:color="auto"/>
      </w:divBdr>
    </w:div>
    <w:div w:id="2121685388">
      <w:bodyDiv w:val="1"/>
      <w:marLeft w:val="0"/>
      <w:marRight w:val="0"/>
      <w:marTop w:val="0"/>
      <w:marBottom w:val="0"/>
      <w:divBdr>
        <w:top w:val="none" w:sz="0" w:space="0" w:color="auto"/>
        <w:left w:val="none" w:sz="0" w:space="0" w:color="auto"/>
        <w:bottom w:val="none" w:sz="0" w:space="0" w:color="auto"/>
        <w:right w:val="none" w:sz="0" w:space="0" w:color="auto"/>
      </w:divBdr>
    </w:div>
    <w:div w:id="2131580858">
      <w:bodyDiv w:val="1"/>
      <w:marLeft w:val="0"/>
      <w:marRight w:val="0"/>
      <w:marTop w:val="0"/>
      <w:marBottom w:val="0"/>
      <w:divBdr>
        <w:top w:val="none" w:sz="0" w:space="0" w:color="auto"/>
        <w:left w:val="none" w:sz="0" w:space="0" w:color="auto"/>
        <w:bottom w:val="none" w:sz="0" w:space="0" w:color="auto"/>
        <w:right w:val="none" w:sz="0" w:space="0" w:color="auto"/>
      </w:divBdr>
    </w:div>
    <w:div w:id="2135052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9D9667A0DF419C9F4774B1B0E625" ma:contentTypeVersion="14" ma:contentTypeDescription="Create a new document." ma:contentTypeScope="" ma:versionID="2d0f9933a9128ad46f811b9c087463d6">
  <xsd:schema xmlns:xsd="http://www.w3.org/2001/XMLSchema" xmlns:xs="http://www.w3.org/2001/XMLSchema" xmlns:p="http://schemas.microsoft.com/office/2006/metadata/properties" xmlns:ns3="3f5f9952-ea91-494a-95ea-713a38e9086b" xmlns:ns4="da1bc37e-9c64-45de-bb1e-5320679afe0f" targetNamespace="http://schemas.microsoft.com/office/2006/metadata/properties" ma:root="true" ma:fieldsID="c99cccbf16654667d84584f08423709a" ns3:_="" ns4:_="">
    <xsd:import namespace="3f5f9952-ea91-494a-95ea-713a38e9086b"/>
    <xsd:import namespace="da1bc37e-9c64-45de-bb1e-5320679afe0f"/>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f9952-ea91-494a-95ea-713a38e90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1bc37e-9c64-45de-bb1e-5320679afe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f5f9952-ea91-494a-95ea-713a38e908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BA73B-F89E-408D-8A90-7E54B439A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f9952-ea91-494a-95ea-713a38e9086b"/>
    <ds:schemaRef ds:uri="da1bc37e-9c64-45de-bb1e-5320679af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00C77-092D-4319-908C-376EFB245B55}">
  <ds:schemaRefs>
    <ds:schemaRef ds:uri="http://schemas.openxmlformats.org/officeDocument/2006/bibliography"/>
  </ds:schemaRefs>
</ds:datastoreItem>
</file>

<file path=customXml/itemProps3.xml><?xml version="1.0" encoding="utf-8"?>
<ds:datastoreItem xmlns:ds="http://schemas.openxmlformats.org/officeDocument/2006/customXml" ds:itemID="{FE297E67-4AE3-480D-8D3A-EA0DB53139BF}">
  <ds:schemaRefs>
    <ds:schemaRef ds:uri="http://schemas.microsoft.com/office/2006/metadata/properties"/>
    <ds:schemaRef ds:uri="http://schemas.microsoft.com/office/infopath/2007/PartnerControls"/>
    <ds:schemaRef ds:uri="3f5f9952-ea91-494a-95ea-713a38e9086b"/>
  </ds:schemaRefs>
</ds:datastoreItem>
</file>

<file path=customXml/itemProps4.xml><?xml version="1.0" encoding="utf-8"?>
<ds:datastoreItem xmlns:ds="http://schemas.openxmlformats.org/officeDocument/2006/customXml" ds:itemID="{0DFA53A5-9E4D-4057-9E25-549D45B7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3703</Words>
  <Characters>21110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24764</CharactersWithSpaces>
  <SharedDoc>false</SharedDoc>
  <HLinks>
    <vt:vector size="6" baseType="variant">
      <vt:variant>
        <vt:i4>6750212</vt:i4>
      </vt:variant>
      <vt:variant>
        <vt:i4>0</vt:i4>
      </vt:variant>
      <vt:variant>
        <vt:i4>0</vt:i4>
      </vt:variant>
      <vt:variant>
        <vt:i4>5</vt:i4>
      </vt:variant>
      <vt:variant>
        <vt:lpwstr>mailto:CPaterson@oxford.gov.uk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awinship</dc:creator>
  <cp:keywords/>
  <cp:lastModifiedBy>MALTON Jonathan</cp:lastModifiedBy>
  <cp:revision>4</cp:revision>
  <cp:lastPrinted>2017-08-07T08:36:00Z</cp:lastPrinted>
  <dcterms:created xsi:type="dcterms:W3CDTF">2025-08-27T14:51:00Z</dcterms:created>
  <dcterms:modified xsi:type="dcterms:W3CDTF">2025-08-27T16:36:00Z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0x01010054379D9667A0DF419C9F4774B1B0E625</vt:lpwstr>
  </property>
</Properties>
</file>